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C6761" w14:textId="77777777" w:rsidR="006A1CE0" w:rsidRPr="001E5744" w:rsidRDefault="006A1CE0" w:rsidP="00D33F95">
      <w:pPr>
        <w:spacing w:line="360" w:lineRule="auto"/>
        <w:rPr>
          <w:rFonts w:ascii="Times New Roman" w:hAnsi="Times New Roman" w:cs="Times New Roman"/>
          <w:b/>
          <w:bCs/>
          <w:color w:val="C00000"/>
          <w:sz w:val="28"/>
          <w:szCs w:val="28"/>
        </w:rPr>
      </w:pPr>
    </w:p>
    <w:p w14:paraId="332D0756" w14:textId="3B852800" w:rsidR="00223DF4" w:rsidRPr="001E5744" w:rsidRDefault="00223DF4" w:rsidP="00D33F95">
      <w:pPr>
        <w:spacing w:line="360" w:lineRule="auto"/>
        <w:rPr>
          <w:rFonts w:ascii="Times New Roman" w:hAnsi="Times New Roman" w:cs="Times New Roman"/>
          <w:b/>
          <w:bCs/>
          <w:color w:val="C00000"/>
          <w:sz w:val="32"/>
          <w:szCs w:val="32"/>
        </w:rPr>
      </w:pPr>
      <w:r w:rsidRPr="001E5744">
        <w:rPr>
          <w:rFonts w:ascii="Times New Roman" w:hAnsi="Times New Roman" w:cs="Times New Roman"/>
          <w:b/>
          <w:bCs/>
          <w:color w:val="C00000"/>
          <w:sz w:val="32"/>
          <w:szCs w:val="32"/>
        </w:rPr>
        <w:t>Reframing Dementia</w:t>
      </w:r>
      <w:r w:rsidR="00D33F95" w:rsidRPr="001E5744">
        <w:rPr>
          <w:rFonts w:ascii="Times New Roman" w:hAnsi="Times New Roman" w:cs="Times New Roman"/>
          <w:b/>
          <w:bCs/>
          <w:color w:val="C00000"/>
          <w:sz w:val="32"/>
          <w:szCs w:val="32"/>
        </w:rPr>
        <w:t xml:space="preserve">: </w:t>
      </w:r>
      <w:r w:rsidRPr="001E5744">
        <w:rPr>
          <w:rFonts w:ascii="Times New Roman" w:hAnsi="Times New Roman" w:cs="Times New Roman"/>
          <w:b/>
          <w:bCs/>
          <w:color w:val="C00000"/>
          <w:sz w:val="32"/>
          <w:szCs w:val="32"/>
        </w:rPr>
        <w:t>How to promote rights</w:t>
      </w:r>
      <w:r w:rsidR="001B248D" w:rsidRPr="001E5744">
        <w:rPr>
          <w:rFonts w:ascii="Times New Roman" w:hAnsi="Times New Roman" w:cs="Times New Roman"/>
          <w:b/>
          <w:bCs/>
          <w:color w:val="C00000"/>
          <w:sz w:val="32"/>
          <w:szCs w:val="32"/>
        </w:rPr>
        <w:t xml:space="preserve"> and strengths-based</w:t>
      </w:r>
      <w:r w:rsidRPr="001E5744">
        <w:rPr>
          <w:rFonts w:ascii="Times New Roman" w:hAnsi="Times New Roman" w:cs="Times New Roman"/>
          <w:b/>
          <w:bCs/>
          <w:color w:val="C00000"/>
          <w:sz w:val="32"/>
          <w:szCs w:val="32"/>
        </w:rPr>
        <w:t xml:space="preserve"> care for people living with dementia and their </w:t>
      </w:r>
      <w:proofErr w:type="gramStart"/>
      <w:r w:rsidRPr="001E5744">
        <w:rPr>
          <w:rFonts w:ascii="Times New Roman" w:hAnsi="Times New Roman" w:cs="Times New Roman"/>
          <w:b/>
          <w:bCs/>
          <w:color w:val="C00000"/>
          <w:sz w:val="32"/>
          <w:szCs w:val="32"/>
        </w:rPr>
        <w:t>carers</w:t>
      </w:r>
      <w:proofErr w:type="gramEnd"/>
    </w:p>
    <w:p w14:paraId="1CAAA925" w14:textId="77777777" w:rsidR="00D33F95" w:rsidRPr="001E5744" w:rsidRDefault="00D33F95" w:rsidP="00D33F95">
      <w:pPr>
        <w:spacing w:line="360" w:lineRule="auto"/>
        <w:jc w:val="center"/>
        <w:rPr>
          <w:rFonts w:ascii="Times New Roman" w:hAnsi="Times New Roman" w:cs="Times New Roman"/>
          <w:b/>
          <w:color w:val="C00000"/>
        </w:rPr>
      </w:pPr>
    </w:p>
    <w:p w14:paraId="3499DF69" w14:textId="77777777" w:rsidR="00A64F6A" w:rsidRPr="001E5744" w:rsidRDefault="00A64F6A" w:rsidP="00D33F95">
      <w:pPr>
        <w:spacing w:line="360" w:lineRule="auto"/>
        <w:rPr>
          <w:rFonts w:ascii="Times New Roman" w:hAnsi="Times New Roman" w:cs="Times New Roman"/>
          <w:b/>
          <w:color w:val="C00000"/>
        </w:rPr>
      </w:pPr>
    </w:p>
    <w:p w14:paraId="2F21D988" w14:textId="77777777" w:rsidR="001B248D" w:rsidRPr="001E5744" w:rsidRDefault="001B248D" w:rsidP="00D33F95">
      <w:pPr>
        <w:autoSpaceDE w:val="0"/>
        <w:autoSpaceDN w:val="0"/>
        <w:adjustRightInd w:val="0"/>
        <w:spacing w:line="360" w:lineRule="auto"/>
        <w:rPr>
          <w:rFonts w:ascii="Times New Roman" w:hAnsi="Times New Roman" w:cs="Times New Roman"/>
          <w:b/>
          <w:bCs/>
          <w:color w:val="C00000"/>
          <w:sz w:val="28"/>
          <w:szCs w:val="28"/>
          <w:lang w:val="en-GB"/>
        </w:rPr>
      </w:pPr>
      <w:r w:rsidRPr="001E5744">
        <w:rPr>
          <w:rFonts w:ascii="Times New Roman" w:hAnsi="Times New Roman" w:cs="Times New Roman"/>
          <w:b/>
          <w:bCs/>
          <w:color w:val="C00000"/>
          <w:sz w:val="28"/>
          <w:szCs w:val="28"/>
          <w:lang w:val="en-GB"/>
        </w:rPr>
        <w:t>Georgia Hing</w:t>
      </w:r>
    </w:p>
    <w:p w14:paraId="48ADA9D6" w14:textId="75CFABE4" w:rsidR="001B248D" w:rsidRPr="00006AA8" w:rsidRDefault="00DD4790" w:rsidP="00D33F95">
      <w:pPr>
        <w:spacing w:line="360" w:lineRule="auto"/>
        <w:rPr>
          <w:rFonts w:ascii="Times New Roman" w:hAnsi="Times New Roman" w:cs="Times New Roman"/>
          <w:color w:val="C00000"/>
          <w:sz w:val="28"/>
          <w:szCs w:val="28"/>
          <w:lang w:val="en-GB"/>
        </w:rPr>
      </w:pPr>
      <w:r w:rsidRPr="00006AA8">
        <w:rPr>
          <w:rFonts w:ascii="Times New Roman" w:hAnsi="Times New Roman" w:cs="Times New Roman"/>
          <w:color w:val="C00000"/>
          <w:sz w:val="28"/>
          <w:szCs w:val="28"/>
          <w:lang w:val="en-GB"/>
        </w:rPr>
        <w:t>MSQW</w:t>
      </w:r>
      <w:r w:rsidR="00D33F95" w:rsidRPr="00006AA8">
        <w:rPr>
          <w:rFonts w:ascii="Times New Roman" w:hAnsi="Times New Roman" w:cs="Times New Roman"/>
          <w:color w:val="C00000"/>
          <w:sz w:val="28"/>
          <w:szCs w:val="28"/>
          <w:lang w:val="en-GB"/>
        </w:rPr>
        <w:t>,</w:t>
      </w:r>
      <w:r w:rsidRPr="00006AA8">
        <w:rPr>
          <w:rFonts w:ascii="Times New Roman" w:hAnsi="Times New Roman" w:cs="Times New Roman"/>
          <w:color w:val="C00000"/>
          <w:sz w:val="28"/>
          <w:szCs w:val="28"/>
          <w:lang w:val="en-GB"/>
        </w:rPr>
        <w:t xml:space="preserve"> </w:t>
      </w:r>
      <w:r w:rsidR="001B248D" w:rsidRPr="00006AA8">
        <w:rPr>
          <w:rFonts w:ascii="Times New Roman" w:hAnsi="Times New Roman" w:cs="Times New Roman"/>
          <w:color w:val="C00000"/>
          <w:sz w:val="28"/>
          <w:szCs w:val="28"/>
        </w:rPr>
        <w:t>University of Sydney</w:t>
      </w:r>
      <w:r w:rsidR="001B248D" w:rsidRPr="00006AA8">
        <w:rPr>
          <w:rFonts w:ascii="Times New Roman" w:hAnsi="Times New Roman" w:cs="Times New Roman"/>
          <w:color w:val="C00000"/>
          <w:sz w:val="28"/>
          <w:szCs w:val="28"/>
        </w:rPr>
        <w:br/>
      </w:r>
    </w:p>
    <w:p w14:paraId="5CA3243E" w14:textId="79B23A02" w:rsidR="00D33F95" w:rsidRPr="001E5744" w:rsidRDefault="00DD4790"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Abstract</w:t>
      </w:r>
    </w:p>
    <w:p w14:paraId="3F4596F2" w14:textId="57E35AE2" w:rsidR="00DC6FD8" w:rsidRPr="001E5744" w:rsidRDefault="00423D2B" w:rsidP="001E5744">
      <w:pPr>
        <w:spacing w:before="240" w:after="240" w:line="360" w:lineRule="auto"/>
        <w:rPr>
          <w:rFonts w:ascii="Times New Roman" w:hAnsi="Times New Roman" w:cs="Times New Roman"/>
          <w:b/>
          <w:bCs/>
          <w:color w:val="000000"/>
        </w:rPr>
      </w:pPr>
      <w:r w:rsidRPr="001E5744">
        <w:rPr>
          <w:rFonts w:ascii="Times New Roman" w:hAnsi="Times New Roman" w:cs="Times New Roman"/>
          <w:color w:val="000000"/>
        </w:rPr>
        <w:t xml:space="preserve">By using a life course approach, this article seeks to discuss and analyse the impact on a carer when their older loved one experiences cognitive changes such as dementia, and the specific implications for people from culturally and linguistically diverse backgrounds. In Western contexts such as Australia, dementia is often understood through a biomedical lens and deficit-based frameworks. These dominant understandings can maintain ageist attitudes that construct older people and those with dementia as a social policy burden. This is further amplified for people from non-dominant cultures. This paper examines the </w:t>
      </w:r>
      <w:r w:rsidR="00A16613" w:rsidRPr="001E5744">
        <w:rPr>
          <w:rFonts w:ascii="Times New Roman" w:hAnsi="Times New Roman" w:cs="Times New Roman"/>
          <w:color w:val="000000"/>
        </w:rPr>
        <w:t>marketisation</w:t>
      </w:r>
      <w:r w:rsidRPr="001E5744">
        <w:rPr>
          <w:rFonts w:ascii="Times New Roman" w:hAnsi="Times New Roman" w:cs="Times New Roman"/>
          <w:color w:val="000000"/>
        </w:rPr>
        <w:t xml:space="preserve"> of aged care in Australia and phenomena of ambiguous loss in identifying a range of issues for carers, including the specific experiences and challenges for culturally and linguistically diverse people. Finally, it discusses implications for critical social work practice and argues for radical change at structural and organisational levels. It proposes that a reframing of dementia as a shared social experience along with strengths-based and relational practice are key to creating more meaningful counter narratives that foster a sense of agency and empowerment for carers and </w:t>
      </w:r>
      <w:r w:rsidR="00071F88" w:rsidRPr="001E5744">
        <w:rPr>
          <w:rFonts w:ascii="Times New Roman" w:hAnsi="Times New Roman" w:cs="Times New Roman"/>
          <w:color w:val="000000"/>
        </w:rPr>
        <w:t>people with dementia.</w:t>
      </w:r>
      <w:r w:rsidRPr="001E5744">
        <w:rPr>
          <w:rFonts w:ascii="Times New Roman" w:hAnsi="Times New Roman" w:cs="Times New Roman"/>
          <w:color w:val="000000"/>
        </w:rPr>
        <w:t xml:space="preserve"> </w:t>
      </w:r>
    </w:p>
    <w:p w14:paraId="041B4501" w14:textId="77777777" w:rsidR="00CB3CC5" w:rsidRDefault="00CB3CC5" w:rsidP="001E5744">
      <w:pPr>
        <w:spacing w:before="180" w:after="180" w:line="360" w:lineRule="auto"/>
        <w:rPr>
          <w:rFonts w:ascii="Times New Roman" w:hAnsi="Times New Roman" w:cs="Times New Roman"/>
          <w:b/>
          <w:bCs/>
          <w:color w:val="C00000"/>
          <w:sz w:val="28"/>
          <w:szCs w:val="28"/>
        </w:rPr>
      </w:pPr>
    </w:p>
    <w:p w14:paraId="3F71D260" w14:textId="1BAE2DAF" w:rsidR="00071F88" w:rsidRPr="001E5744" w:rsidRDefault="00071F88"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Key Words</w:t>
      </w:r>
    </w:p>
    <w:p w14:paraId="0CA07722" w14:textId="2E6618C1" w:rsidR="00071F88" w:rsidRPr="001E5744" w:rsidRDefault="00D33F95" w:rsidP="00D33F95">
      <w:pPr>
        <w:spacing w:line="360" w:lineRule="auto"/>
        <w:rPr>
          <w:rFonts w:ascii="Times New Roman" w:hAnsi="Times New Roman" w:cs="Times New Roman"/>
          <w:color w:val="000000"/>
        </w:rPr>
      </w:pPr>
      <w:r w:rsidRPr="001E5744">
        <w:rPr>
          <w:rFonts w:ascii="Times New Roman" w:hAnsi="Times New Roman" w:cs="Times New Roman"/>
          <w:color w:val="000000"/>
        </w:rPr>
        <w:t>D</w:t>
      </w:r>
      <w:r w:rsidR="00071F88" w:rsidRPr="001E5744">
        <w:rPr>
          <w:rFonts w:ascii="Times New Roman" w:hAnsi="Times New Roman" w:cs="Times New Roman"/>
          <w:color w:val="000000"/>
        </w:rPr>
        <w:t xml:space="preserve">ementia, </w:t>
      </w:r>
      <w:r w:rsidRPr="001E5744">
        <w:rPr>
          <w:rFonts w:ascii="Times New Roman" w:hAnsi="Times New Roman" w:cs="Times New Roman"/>
          <w:color w:val="000000"/>
        </w:rPr>
        <w:t>Li</w:t>
      </w:r>
      <w:r w:rsidR="00071F88" w:rsidRPr="001E5744">
        <w:rPr>
          <w:rFonts w:ascii="Times New Roman" w:hAnsi="Times New Roman" w:cs="Times New Roman"/>
          <w:color w:val="000000"/>
        </w:rPr>
        <w:t xml:space="preserve">fe </w:t>
      </w:r>
      <w:r w:rsidRPr="001E5744">
        <w:rPr>
          <w:rFonts w:ascii="Times New Roman" w:hAnsi="Times New Roman" w:cs="Times New Roman"/>
          <w:color w:val="000000"/>
        </w:rPr>
        <w:t>C</w:t>
      </w:r>
      <w:r w:rsidR="00071F88" w:rsidRPr="001E5744">
        <w:rPr>
          <w:rFonts w:ascii="Times New Roman" w:hAnsi="Times New Roman" w:cs="Times New Roman"/>
          <w:color w:val="000000"/>
        </w:rPr>
        <w:t xml:space="preserve">ourse </w:t>
      </w:r>
      <w:r w:rsidRPr="001E5744">
        <w:rPr>
          <w:rFonts w:ascii="Times New Roman" w:hAnsi="Times New Roman" w:cs="Times New Roman"/>
          <w:color w:val="000000"/>
        </w:rPr>
        <w:t>P</w:t>
      </w:r>
      <w:r w:rsidR="00071F88" w:rsidRPr="001E5744">
        <w:rPr>
          <w:rFonts w:ascii="Times New Roman" w:hAnsi="Times New Roman" w:cs="Times New Roman"/>
          <w:color w:val="000000"/>
        </w:rPr>
        <w:t xml:space="preserve">erspective, </w:t>
      </w:r>
      <w:r w:rsidRPr="001E5744">
        <w:rPr>
          <w:rFonts w:ascii="Times New Roman" w:hAnsi="Times New Roman" w:cs="Times New Roman"/>
          <w:color w:val="000000"/>
        </w:rPr>
        <w:t>S</w:t>
      </w:r>
      <w:r w:rsidR="00071F88" w:rsidRPr="001E5744">
        <w:rPr>
          <w:rFonts w:ascii="Times New Roman" w:hAnsi="Times New Roman" w:cs="Times New Roman"/>
          <w:color w:val="000000"/>
        </w:rPr>
        <w:t xml:space="preserve">ocial </w:t>
      </w:r>
      <w:r w:rsidRPr="001E5744">
        <w:rPr>
          <w:rFonts w:ascii="Times New Roman" w:hAnsi="Times New Roman" w:cs="Times New Roman"/>
          <w:color w:val="000000"/>
        </w:rPr>
        <w:t>W</w:t>
      </w:r>
      <w:r w:rsidR="00071F88" w:rsidRPr="001E5744">
        <w:rPr>
          <w:rFonts w:ascii="Times New Roman" w:hAnsi="Times New Roman" w:cs="Times New Roman"/>
          <w:color w:val="000000"/>
        </w:rPr>
        <w:t xml:space="preserve">ork, </w:t>
      </w:r>
      <w:r w:rsidRPr="001E5744">
        <w:rPr>
          <w:rFonts w:ascii="Times New Roman" w:hAnsi="Times New Roman" w:cs="Times New Roman"/>
          <w:color w:val="000000"/>
        </w:rPr>
        <w:t>Ag</w:t>
      </w:r>
      <w:r w:rsidR="00071F88" w:rsidRPr="001E5744">
        <w:rPr>
          <w:rFonts w:ascii="Times New Roman" w:hAnsi="Times New Roman" w:cs="Times New Roman"/>
          <w:color w:val="000000"/>
        </w:rPr>
        <w:t>eism, CALD</w:t>
      </w:r>
    </w:p>
    <w:p w14:paraId="3A682853" w14:textId="48DFCA80" w:rsidR="00DD4790" w:rsidRPr="001E5744" w:rsidRDefault="00DD4790" w:rsidP="00D33F95">
      <w:pPr>
        <w:spacing w:after="240" w:line="360" w:lineRule="auto"/>
        <w:rPr>
          <w:rFonts w:ascii="Times New Roman" w:hAnsi="Times New Roman" w:cs="Times New Roman"/>
          <w:b/>
          <w:i/>
          <w:iCs/>
          <w:color w:val="333333"/>
        </w:rPr>
      </w:pPr>
    </w:p>
    <w:p w14:paraId="43070792" w14:textId="77777777" w:rsidR="00D33F95" w:rsidRPr="001E5744" w:rsidRDefault="00D33F95" w:rsidP="00CD14C6">
      <w:pPr>
        <w:rPr>
          <w:rFonts w:ascii="Times New Roman" w:hAnsi="Times New Roman" w:cs="Times New Roman"/>
          <w:b/>
          <w:bCs/>
          <w:color w:val="000000"/>
        </w:rPr>
      </w:pPr>
    </w:p>
    <w:p w14:paraId="457617EE" w14:textId="77777777" w:rsidR="001E5744" w:rsidRDefault="001E5744" w:rsidP="001E5744">
      <w:pPr>
        <w:spacing w:before="180" w:after="180" w:line="360" w:lineRule="auto"/>
        <w:rPr>
          <w:rFonts w:ascii="Times New Roman" w:hAnsi="Times New Roman" w:cs="Times New Roman"/>
          <w:b/>
          <w:bCs/>
          <w:color w:val="C00000"/>
          <w:sz w:val="28"/>
          <w:szCs w:val="28"/>
        </w:rPr>
      </w:pPr>
    </w:p>
    <w:p w14:paraId="3E0FE09B" w14:textId="6D0DCCC8" w:rsidR="00B848B7" w:rsidRPr="001E5744" w:rsidRDefault="00B848B7"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Introduction</w:t>
      </w:r>
    </w:p>
    <w:p w14:paraId="2BA24ABC" w14:textId="5E80E84A" w:rsidR="00CD14C6" w:rsidRPr="001E5744" w:rsidRDefault="00AA3C35"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 xml:space="preserve">Current dominant discourses and social policies in Australia can perpetuate ageist attitudes leading to the discrimination of people living with dementia. </w:t>
      </w:r>
      <w:r w:rsidR="00B848B7" w:rsidRPr="001E5744">
        <w:rPr>
          <w:rFonts w:ascii="Times New Roman" w:hAnsi="Times New Roman" w:cs="Times New Roman"/>
          <w:color w:val="000000"/>
        </w:rPr>
        <w:t xml:space="preserve">This paper will take a life course approach in </w:t>
      </w:r>
      <w:r w:rsidR="002F1CE1" w:rsidRPr="001E5744">
        <w:rPr>
          <w:rFonts w:ascii="Times New Roman" w:hAnsi="Times New Roman" w:cs="Times New Roman"/>
          <w:color w:val="000000"/>
        </w:rPr>
        <w:t>exploring</w:t>
      </w:r>
      <w:r w:rsidR="00B848B7" w:rsidRPr="001E5744">
        <w:rPr>
          <w:rFonts w:ascii="Times New Roman" w:hAnsi="Times New Roman" w:cs="Times New Roman"/>
          <w:color w:val="000000"/>
        </w:rPr>
        <w:t xml:space="preserve"> the experiences of </w:t>
      </w:r>
      <w:r w:rsidRPr="001E5744">
        <w:rPr>
          <w:rFonts w:ascii="Times New Roman" w:hAnsi="Times New Roman" w:cs="Times New Roman"/>
          <w:color w:val="000000"/>
        </w:rPr>
        <w:t xml:space="preserve">this cohort and their </w:t>
      </w:r>
      <w:r w:rsidR="00B848B7" w:rsidRPr="001E5744">
        <w:rPr>
          <w:rFonts w:ascii="Times New Roman" w:hAnsi="Times New Roman" w:cs="Times New Roman"/>
          <w:color w:val="000000"/>
        </w:rPr>
        <w:t xml:space="preserve">carers within </w:t>
      </w:r>
      <w:r w:rsidR="00433118" w:rsidRPr="001E5744">
        <w:rPr>
          <w:rFonts w:ascii="Times New Roman" w:hAnsi="Times New Roman" w:cs="Times New Roman"/>
          <w:color w:val="000000"/>
        </w:rPr>
        <w:t>w</w:t>
      </w:r>
      <w:r w:rsidR="00B848B7" w:rsidRPr="001E5744">
        <w:rPr>
          <w:rFonts w:ascii="Times New Roman" w:hAnsi="Times New Roman" w:cs="Times New Roman"/>
          <w:color w:val="000000"/>
        </w:rPr>
        <w:t xml:space="preserve">esternised models of care and </w:t>
      </w:r>
      <w:r w:rsidR="00472E35" w:rsidRPr="001E5744">
        <w:rPr>
          <w:rFonts w:ascii="Times New Roman" w:hAnsi="Times New Roman" w:cs="Times New Roman"/>
          <w:color w:val="000000"/>
        </w:rPr>
        <w:t xml:space="preserve">the </w:t>
      </w:r>
      <w:r w:rsidR="00B848B7" w:rsidRPr="001E5744">
        <w:rPr>
          <w:rFonts w:ascii="Times New Roman" w:hAnsi="Times New Roman" w:cs="Times New Roman"/>
          <w:color w:val="000000"/>
        </w:rPr>
        <w:t>broader Australian society</w:t>
      </w:r>
      <w:r w:rsidRPr="001E5744">
        <w:rPr>
          <w:rFonts w:ascii="Times New Roman" w:hAnsi="Times New Roman" w:cs="Times New Roman"/>
          <w:color w:val="000000"/>
        </w:rPr>
        <w:t xml:space="preserve">. It will first </w:t>
      </w:r>
      <w:r w:rsidR="002F1CE1" w:rsidRPr="001E5744">
        <w:rPr>
          <w:rFonts w:ascii="Times New Roman" w:hAnsi="Times New Roman" w:cs="Times New Roman"/>
          <w:color w:val="000000"/>
        </w:rPr>
        <w:t>analyse</w:t>
      </w:r>
      <w:r w:rsidR="000D51F7" w:rsidRPr="001E5744">
        <w:rPr>
          <w:rFonts w:ascii="Times New Roman" w:hAnsi="Times New Roman" w:cs="Times New Roman"/>
          <w:color w:val="000000"/>
        </w:rPr>
        <w:t xml:space="preserve"> the impacts dominant discourses surrounding ageing in Australia </w:t>
      </w:r>
      <w:r w:rsidR="00433118" w:rsidRPr="001E5744">
        <w:rPr>
          <w:rFonts w:ascii="Times New Roman" w:hAnsi="Times New Roman" w:cs="Times New Roman"/>
          <w:color w:val="000000"/>
        </w:rPr>
        <w:t xml:space="preserve">have </w:t>
      </w:r>
      <w:r w:rsidR="000D51F7" w:rsidRPr="001E5744">
        <w:rPr>
          <w:rFonts w:ascii="Times New Roman" w:hAnsi="Times New Roman" w:cs="Times New Roman"/>
          <w:color w:val="000000"/>
        </w:rPr>
        <w:t xml:space="preserve">on people with dementia and their </w:t>
      </w:r>
      <w:proofErr w:type="spellStart"/>
      <w:r w:rsidR="000D51F7" w:rsidRPr="001E5744">
        <w:rPr>
          <w:rFonts w:ascii="Times New Roman" w:hAnsi="Times New Roman" w:cs="Times New Roman"/>
          <w:color w:val="000000"/>
        </w:rPr>
        <w:t>carers</w:t>
      </w:r>
      <w:proofErr w:type="spellEnd"/>
      <w:r w:rsidR="000D51F7" w:rsidRPr="001E5744">
        <w:rPr>
          <w:rFonts w:ascii="Times New Roman" w:hAnsi="Times New Roman" w:cs="Times New Roman"/>
          <w:color w:val="000000"/>
        </w:rPr>
        <w:t>, before examining common phenomena experienced such as ambiguous loss. A life course</w:t>
      </w:r>
      <w:r w:rsidR="007D1348" w:rsidRPr="001E5744">
        <w:rPr>
          <w:rFonts w:ascii="Times New Roman" w:hAnsi="Times New Roman" w:cs="Times New Roman"/>
          <w:color w:val="000000"/>
        </w:rPr>
        <w:t xml:space="preserve"> perspective</w:t>
      </w:r>
      <w:r w:rsidR="00822E41" w:rsidRPr="001E5744">
        <w:rPr>
          <w:rFonts w:ascii="Times New Roman" w:hAnsi="Times New Roman" w:cs="Times New Roman"/>
          <w:color w:val="000000"/>
        </w:rPr>
        <w:t xml:space="preserve"> (LCP)</w:t>
      </w:r>
      <w:r w:rsidR="007D1348" w:rsidRPr="001E5744">
        <w:rPr>
          <w:rFonts w:ascii="Times New Roman" w:hAnsi="Times New Roman" w:cs="Times New Roman"/>
          <w:color w:val="000000"/>
        </w:rPr>
        <w:t xml:space="preserve"> will also be used in identifying areas in which people with marginalised identities experience further disadvantage and oppression as they age</w:t>
      </w:r>
      <w:r w:rsidR="00822E41" w:rsidRPr="001E5744">
        <w:rPr>
          <w:rFonts w:ascii="Times New Roman" w:hAnsi="Times New Roman" w:cs="Times New Roman"/>
          <w:color w:val="000000"/>
        </w:rPr>
        <w:t xml:space="preserve">, including how dementia specifically impacts </w:t>
      </w:r>
      <w:r w:rsidR="00433118" w:rsidRPr="001E5744">
        <w:rPr>
          <w:rFonts w:ascii="Times New Roman" w:hAnsi="Times New Roman" w:cs="Times New Roman"/>
          <w:color w:val="000000"/>
        </w:rPr>
        <w:t>culturally and linguistically diverse (</w:t>
      </w:r>
      <w:r w:rsidR="000D51F7" w:rsidRPr="001E5744">
        <w:rPr>
          <w:rFonts w:ascii="Times New Roman" w:hAnsi="Times New Roman" w:cs="Times New Roman"/>
          <w:color w:val="000000"/>
        </w:rPr>
        <w:t>CALD</w:t>
      </w:r>
      <w:r w:rsidR="00433118" w:rsidRPr="001E5744">
        <w:rPr>
          <w:rFonts w:ascii="Times New Roman" w:hAnsi="Times New Roman" w:cs="Times New Roman"/>
          <w:color w:val="000000"/>
        </w:rPr>
        <w:t>)</w:t>
      </w:r>
      <w:r w:rsidR="000D51F7" w:rsidRPr="001E5744">
        <w:rPr>
          <w:rFonts w:ascii="Times New Roman" w:hAnsi="Times New Roman" w:cs="Times New Roman"/>
          <w:color w:val="000000"/>
        </w:rPr>
        <w:t xml:space="preserve"> people</w:t>
      </w:r>
      <w:r w:rsidR="00822E41" w:rsidRPr="001E5744">
        <w:rPr>
          <w:rFonts w:ascii="Times New Roman" w:hAnsi="Times New Roman" w:cs="Times New Roman"/>
          <w:color w:val="000000"/>
        </w:rPr>
        <w:t>. Using the LCP</w:t>
      </w:r>
      <w:r w:rsidR="007D1348" w:rsidRPr="001E5744">
        <w:rPr>
          <w:rFonts w:ascii="Times New Roman" w:hAnsi="Times New Roman" w:cs="Times New Roman"/>
          <w:color w:val="000000"/>
        </w:rPr>
        <w:t xml:space="preserve"> </w:t>
      </w:r>
      <w:r w:rsidR="00822E41" w:rsidRPr="001E5744">
        <w:rPr>
          <w:rFonts w:ascii="Times New Roman" w:hAnsi="Times New Roman" w:cs="Times New Roman"/>
          <w:color w:val="000000"/>
        </w:rPr>
        <w:t>also</w:t>
      </w:r>
      <w:r w:rsidR="007D1348" w:rsidRPr="001E5744">
        <w:rPr>
          <w:rFonts w:ascii="Times New Roman" w:hAnsi="Times New Roman" w:cs="Times New Roman"/>
          <w:color w:val="000000"/>
        </w:rPr>
        <w:t xml:space="preserve"> provide</w:t>
      </w:r>
      <w:r w:rsidR="00822E41" w:rsidRPr="001E5744">
        <w:rPr>
          <w:rFonts w:ascii="Times New Roman" w:hAnsi="Times New Roman" w:cs="Times New Roman"/>
          <w:color w:val="000000"/>
        </w:rPr>
        <w:t>s</w:t>
      </w:r>
      <w:r w:rsidR="007D1348" w:rsidRPr="001E5744">
        <w:rPr>
          <w:rFonts w:ascii="Times New Roman" w:hAnsi="Times New Roman" w:cs="Times New Roman"/>
          <w:color w:val="000000"/>
        </w:rPr>
        <w:t xml:space="preserve"> further insights into how social workers can better work alongside these populations </w:t>
      </w:r>
      <w:r w:rsidR="00822E41" w:rsidRPr="001E5744">
        <w:rPr>
          <w:rFonts w:ascii="Times New Roman" w:hAnsi="Times New Roman" w:cs="Times New Roman"/>
          <w:color w:val="000000"/>
        </w:rPr>
        <w:t xml:space="preserve">to </w:t>
      </w:r>
      <w:r w:rsidR="007D1348" w:rsidRPr="001E5744">
        <w:rPr>
          <w:rFonts w:ascii="Times New Roman" w:hAnsi="Times New Roman" w:cs="Times New Roman"/>
          <w:color w:val="000000"/>
        </w:rPr>
        <w:t xml:space="preserve">ensure </w:t>
      </w:r>
      <w:r w:rsidR="00472E35" w:rsidRPr="001E5744">
        <w:rPr>
          <w:rFonts w:ascii="Times New Roman" w:hAnsi="Times New Roman" w:cs="Times New Roman"/>
          <w:color w:val="000000"/>
        </w:rPr>
        <w:t xml:space="preserve">care </w:t>
      </w:r>
      <w:r w:rsidR="007D1348" w:rsidRPr="001E5744">
        <w:rPr>
          <w:rFonts w:ascii="Times New Roman" w:hAnsi="Times New Roman" w:cs="Times New Roman"/>
          <w:color w:val="000000"/>
        </w:rPr>
        <w:t xml:space="preserve">is not </w:t>
      </w:r>
      <w:r w:rsidR="00CD14C6" w:rsidRPr="001E5744">
        <w:rPr>
          <w:rFonts w:ascii="Times New Roman" w:hAnsi="Times New Roman" w:cs="Times New Roman"/>
          <w:color w:val="000000"/>
        </w:rPr>
        <w:t>homogenous and</w:t>
      </w:r>
      <w:r w:rsidR="00822E41" w:rsidRPr="001E5744">
        <w:rPr>
          <w:rFonts w:ascii="Times New Roman" w:hAnsi="Times New Roman" w:cs="Times New Roman"/>
          <w:color w:val="000000"/>
        </w:rPr>
        <w:t xml:space="preserve"> </w:t>
      </w:r>
      <w:r w:rsidR="00433118" w:rsidRPr="001E5744">
        <w:rPr>
          <w:rFonts w:ascii="Times New Roman" w:hAnsi="Times New Roman" w:cs="Times New Roman"/>
          <w:color w:val="000000"/>
        </w:rPr>
        <w:t xml:space="preserve">remains </w:t>
      </w:r>
      <w:r w:rsidR="00822E41" w:rsidRPr="001E5744">
        <w:rPr>
          <w:rFonts w:ascii="Times New Roman" w:hAnsi="Times New Roman" w:cs="Times New Roman"/>
          <w:color w:val="000000"/>
        </w:rPr>
        <w:t>culturally safe</w:t>
      </w:r>
      <w:r w:rsidR="007D1348" w:rsidRPr="001E5744">
        <w:rPr>
          <w:rFonts w:ascii="Times New Roman" w:hAnsi="Times New Roman" w:cs="Times New Roman"/>
          <w:color w:val="000000"/>
        </w:rPr>
        <w:t xml:space="preserve">. </w:t>
      </w:r>
      <w:r w:rsidR="00822E41" w:rsidRPr="001E5744">
        <w:rPr>
          <w:rFonts w:ascii="Times New Roman" w:hAnsi="Times New Roman" w:cs="Times New Roman"/>
          <w:color w:val="000000"/>
        </w:rPr>
        <w:t>Lastly, t</w:t>
      </w:r>
      <w:r w:rsidR="000D51F7" w:rsidRPr="001E5744">
        <w:rPr>
          <w:rFonts w:ascii="Times New Roman" w:hAnsi="Times New Roman" w:cs="Times New Roman"/>
          <w:color w:val="000000"/>
        </w:rPr>
        <w:t xml:space="preserve">his paper puts forward </w:t>
      </w:r>
      <w:proofErr w:type="gramStart"/>
      <w:r w:rsidR="000D51F7" w:rsidRPr="001E5744">
        <w:rPr>
          <w:rFonts w:ascii="Times New Roman" w:hAnsi="Times New Roman" w:cs="Times New Roman"/>
          <w:color w:val="000000"/>
        </w:rPr>
        <w:t>a number of</w:t>
      </w:r>
      <w:proofErr w:type="gramEnd"/>
      <w:r w:rsidR="000D51F7" w:rsidRPr="001E5744">
        <w:rPr>
          <w:rFonts w:ascii="Times New Roman" w:hAnsi="Times New Roman" w:cs="Times New Roman"/>
          <w:color w:val="000000"/>
        </w:rPr>
        <w:t xml:space="preserve"> ways that social workers can apply critical perspectives to practice</w:t>
      </w:r>
      <w:r w:rsidR="00433118" w:rsidRPr="001E5744">
        <w:rPr>
          <w:rFonts w:ascii="Times New Roman" w:hAnsi="Times New Roman" w:cs="Times New Roman"/>
          <w:color w:val="000000"/>
        </w:rPr>
        <w:t xml:space="preserve">, enact strengths-based care, advocate for change and provide alternative knowledges. </w:t>
      </w:r>
      <w:r w:rsidR="000D51F7" w:rsidRPr="001E5744">
        <w:rPr>
          <w:rFonts w:ascii="Times New Roman" w:hAnsi="Times New Roman" w:cs="Times New Roman"/>
          <w:color w:val="000000"/>
        </w:rPr>
        <w:t xml:space="preserve"> </w:t>
      </w:r>
    </w:p>
    <w:p w14:paraId="6E181F38" w14:textId="22177F36" w:rsidR="00433118" w:rsidRPr="001E5744" w:rsidRDefault="00822E41"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Dementia in Australia</w:t>
      </w:r>
    </w:p>
    <w:p w14:paraId="6C6B0CE9" w14:textId="56959068" w:rsidR="005C6FCF" w:rsidRPr="001E5744" w:rsidRDefault="00A171E5" w:rsidP="001E5744">
      <w:pPr>
        <w:spacing w:before="240" w:after="240" w:line="360" w:lineRule="auto"/>
        <w:rPr>
          <w:rFonts w:ascii="Times New Roman" w:hAnsi="Times New Roman" w:cs="Times New Roman"/>
          <w:b/>
          <w:bCs/>
          <w:color w:val="000000"/>
        </w:rPr>
      </w:pPr>
      <w:r w:rsidRPr="001E5744">
        <w:rPr>
          <w:rFonts w:ascii="Times New Roman" w:hAnsi="Times New Roman" w:cs="Times New Roman"/>
          <w:color w:val="000000"/>
        </w:rPr>
        <w:t xml:space="preserve">In Australia there are an estimated 487,500 people living with dementia and without a medical breakthrough that number is expected to rise to almost 1.1 million by 2058. It is also estimated that almost 1.6 million people in Australia are involved in the care of someone living with dementia (Dementia Australia, 2022). Dementia </w:t>
      </w:r>
      <w:r w:rsidR="00EE4E53" w:rsidRPr="001E5744">
        <w:rPr>
          <w:rFonts w:ascii="Times New Roman" w:hAnsi="Times New Roman" w:cs="Times New Roman"/>
          <w:color w:val="000000"/>
        </w:rPr>
        <w:t xml:space="preserve">is not one specific </w:t>
      </w:r>
      <w:r w:rsidR="00CD14C6" w:rsidRPr="001E5744">
        <w:rPr>
          <w:rFonts w:ascii="Times New Roman" w:hAnsi="Times New Roman" w:cs="Times New Roman"/>
          <w:color w:val="000000"/>
        </w:rPr>
        <w:t>disease,</w:t>
      </w:r>
      <w:r w:rsidR="00EE4E53" w:rsidRPr="001E5744">
        <w:rPr>
          <w:rFonts w:ascii="Times New Roman" w:hAnsi="Times New Roman" w:cs="Times New Roman"/>
          <w:color w:val="000000"/>
        </w:rPr>
        <w:t xml:space="preserve"> but an umbrella term used to describe a collection of symptoms caused by disorders affecting the brain. These can lead to the</w:t>
      </w:r>
      <w:r w:rsidRPr="001E5744">
        <w:rPr>
          <w:rFonts w:ascii="Times New Roman" w:hAnsi="Times New Roman" w:cs="Times New Roman"/>
          <w:color w:val="000000"/>
        </w:rPr>
        <w:t xml:space="preserve"> progressive decline in one’s functioning which can include a loss of memory, rationality, perception</w:t>
      </w:r>
      <w:r w:rsidR="00433118" w:rsidRPr="001E5744">
        <w:rPr>
          <w:rFonts w:ascii="Times New Roman" w:hAnsi="Times New Roman" w:cs="Times New Roman"/>
          <w:color w:val="000000"/>
        </w:rPr>
        <w:t>,</w:t>
      </w:r>
      <w:r w:rsidRPr="001E5744">
        <w:rPr>
          <w:rFonts w:ascii="Times New Roman" w:hAnsi="Times New Roman" w:cs="Times New Roman"/>
          <w:color w:val="000000"/>
        </w:rPr>
        <w:t xml:space="preserve"> </w:t>
      </w:r>
      <w:r w:rsidR="00EE4E53" w:rsidRPr="001E5744">
        <w:rPr>
          <w:rFonts w:ascii="Times New Roman" w:hAnsi="Times New Roman" w:cs="Times New Roman"/>
          <w:color w:val="000000"/>
        </w:rPr>
        <w:t>s</w:t>
      </w:r>
      <w:r w:rsidRPr="001E5744">
        <w:rPr>
          <w:rFonts w:ascii="Times New Roman" w:hAnsi="Times New Roman" w:cs="Times New Roman"/>
          <w:color w:val="000000"/>
        </w:rPr>
        <w:t xml:space="preserve">ocial skills, intellect and physical functioning. </w:t>
      </w:r>
      <w:r w:rsidR="00EE4E53" w:rsidRPr="001E5744">
        <w:rPr>
          <w:rFonts w:ascii="Times New Roman" w:hAnsi="Times New Roman" w:cs="Times New Roman"/>
          <w:color w:val="000000"/>
        </w:rPr>
        <w:t xml:space="preserve">  </w:t>
      </w:r>
    </w:p>
    <w:p w14:paraId="7975AECA" w14:textId="36A7DC9F" w:rsidR="00434C07" w:rsidRPr="001E5744" w:rsidRDefault="00822E41"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 xml:space="preserve">At a macro level, it </w:t>
      </w:r>
      <w:r w:rsidR="00610A77" w:rsidRPr="001E5744">
        <w:rPr>
          <w:rFonts w:ascii="Times New Roman" w:hAnsi="Times New Roman" w:cs="Times New Roman"/>
          <w:color w:val="000000"/>
        </w:rPr>
        <w:t>is</w:t>
      </w:r>
      <w:r w:rsidRPr="001E5744">
        <w:rPr>
          <w:rFonts w:ascii="Times New Roman" w:hAnsi="Times New Roman" w:cs="Times New Roman"/>
          <w:color w:val="000000"/>
        </w:rPr>
        <w:t xml:space="preserve"> evident t</w:t>
      </w:r>
      <w:r w:rsidR="002258CF" w:rsidRPr="001E5744">
        <w:rPr>
          <w:rFonts w:ascii="Times New Roman" w:hAnsi="Times New Roman" w:cs="Times New Roman"/>
          <w:color w:val="000000"/>
        </w:rPr>
        <w:t xml:space="preserve">hat </w:t>
      </w:r>
      <w:r w:rsidR="00733751" w:rsidRPr="001E5744">
        <w:rPr>
          <w:rFonts w:ascii="Times New Roman" w:hAnsi="Times New Roman" w:cs="Times New Roman"/>
          <w:color w:val="000000"/>
        </w:rPr>
        <w:t xml:space="preserve">social policies </w:t>
      </w:r>
      <w:r w:rsidRPr="001E5744">
        <w:rPr>
          <w:rFonts w:ascii="Times New Roman" w:hAnsi="Times New Roman" w:cs="Times New Roman"/>
          <w:color w:val="000000"/>
        </w:rPr>
        <w:t>and their underlying ideologies impact</w:t>
      </w:r>
      <w:r w:rsidR="00733751" w:rsidRPr="001E5744">
        <w:rPr>
          <w:rFonts w:ascii="Times New Roman" w:hAnsi="Times New Roman" w:cs="Times New Roman"/>
          <w:color w:val="000000"/>
        </w:rPr>
        <w:t xml:space="preserve"> </w:t>
      </w:r>
      <w:r w:rsidR="002258CF" w:rsidRPr="001E5744">
        <w:rPr>
          <w:rFonts w:ascii="Times New Roman" w:hAnsi="Times New Roman" w:cs="Times New Roman"/>
          <w:color w:val="000000"/>
        </w:rPr>
        <w:t xml:space="preserve">people </w:t>
      </w:r>
      <w:r w:rsidRPr="001E5744">
        <w:rPr>
          <w:rFonts w:ascii="Times New Roman" w:hAnsi="Times New Roman" w:cs="Times New Roman"/>
          <w:color w:val="000000"/>
        </w:rPr>
        <w:t>in complex and diverse ways when it comes to</w:t>
      </w:r>
      <w:r w:rsidR="00733751" w:rsidRPr="001E5744">
        <w:rPr>
          <w:rFonts w:ascii="Times New Roman" w:hAnsi="Times New Roman" w:cs="Times New Roman"/>
          <w:color w:val="000000"/>
        </w:rPr>
        <w:t xml:space="preserve"> navigating a life with dementia</w:t>
      </w:r>
      <w:r w:rsidR="002258CF" w:rsidRPr="001E5744">
        <w:rPr>
          <w:rFonts w:ascii="Times New Roman" w:hAnsi="Times New Roman" w:cs="Times New Roman"/>
          <w:color w:val="000000"/>
        </w:rPr>
        <w:t xml:space="preserve"> (Duffy, 2017; </w:t>
      </w:r>
      <w:r w:rsidR="00EB2BD6" w:rsidRPr="001E5744">
        <w:rPr>
          <w:rFonts w:ascii="Times New Roman" w:hAnsi="Times New Roman" w:cs="Times New Roman"/>
          <w:color w:val="000000"/>
        </w:rPr>
        <w:t>Macdonald &amp; Mears, 2019</w:t>
      </w:r>
      <w:r w:rsidR="00EB2BD6">
        <w:rPr>
          <w:rFonts w:ascii="Times New Roman" w:hAnsi="Times New Roman" w:cs="Times New Roman"/>
          <w:color w:val="000000"/>
        </w:rPr>
        <w:t xml:space="preserve">; </w:t>
      </w:r>
      <w:r w:rsidR="002258CF" w:rsidRPr="001E5744">
        <w:rPr>
          <w:rFonts w:ascii="Times New Roman" w:hAnsi="Times New Roman" w:cs="Times New Roman"/>
          <w:color w:val="000000"/>
        </w:rPr>
        <w:t>Phillips, 2018)</w:t>
      </w:r>
      <w:r w:rsidR="00733751" w:rsidRPr="001E5744">
        <w:rPr>
          <w:rFonts w:ascii="Times New Roman" w:hAnsi="Times New Roman" w:cs="Times New Roman"/>
          <w:color w:val="000000"/>
        </w:rPr>
        <w:t xml:space="preserve">. Phillips (2018, p. 6) argues that entrenched and structural ageism in Australia is perpetuated by neoliberal agendas that favour individualism and free markets over “societal and human needs”. </w:t>
      </w:r>
      <w:r w:rsidR="008553E6" w:rsidRPr="001E5744">
        <w:rPr>
          <w:rFonts w:ascii="Times New Roman" w:hAnsi="Times New Roman" w:cs="Times New Roman"/>
          <w:color w:val="000000"/>
        </w:rPr>
        <w:t xml:space="preserve">The Royal Commission into Aged Care Quality and Safety’s Interim Report stated that “Australia has drifted into an </w:t>
      </w:r>
      <w:r w:rsidR="008553E6" w:rsidRPr="001E5744">
        <w:rPr>
          <w:rFonts w:ascii="Times New Roman" w:hAnsi="Times New Roman" w:cs="Times New Roman"/>
          <w:color w:val="000000"/>
        </w:rPr>
        <w:lastRenderedPageBreak/>
        <w:t>ageist mindset that undervalues older people and limits their possibilities” (</w:t>
      </w:r>
      <w:r w:rsidR="00EB2BD6" w:rsidRPr="001E5744">
        <w:rPr>
          <w:rFonts w:ascii="Times New Roman" w:hAnsi="Times New Roman" w:cs="Times New Roman"/>
          <w:bCs/>
          <w:lang w:val="en-GB"/>
        </w:rPr>
        <w:t>Royal Commission into Aged Care Quality and Safety</w:t>
      </w:r>
      <w:r w:rsidR="008553E6" w:rsidRPr="001E5744">
        <w:rPr>
          <w:rFonts w:ascii="Times New Roman" w:hAnsi="Times New Roman" w:cs="Times New Roman"/>
          <w:color w:val="000000"/>
        </w:rPr>
        <w:t>, 2019</w:t>
      </w:r>
      <w:r w:rsidR="00315E0C" w:rsidRPr="001E5744">
        <w:rPr>
          <w:rFonts w:ascii="Times New Roman" w:hAnsi="Times New Roman" w:cs="Times New Roman"/>
          <w:color w:val="000000"/>
        </w:rPr>
        <w:t>, p.1</w:t>
      </w:r>
      <w:r w:rsidR="008553E6" w:rsidRPr="001E5744">
        <w:rPr>
          <w:rFonts w:ascii="Times New Roman" w:hAnsi="Times New Roman" w:cs="Times New Roman"/>
          <w:color w:val="000000"/>
        </w:rPr>
        <w:t>).</w:t>
      </w:r>
    </w:p>
    <w:p w14:paraId="410008ED" w14:textId="35DCFA28" w:rsidR="00CD14C6" w:rsidRPr="001E5744" w:rsidRDefault="00733751"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Ageism and Biomedical Understandings</w:t>
      </w:r>
    </w:p>
    <w:p w14:paraId="0E3746D3" w14:textId="1A5B9F30" w:rsidR="001E5744" w:rsidRDefault="00733751"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 xml:space="preserve">Older people can be constructed as a burden or a social policy problem within health, economic and social services (Duffy, 2017). Power exercised through dominant discourses can enable ageism to be accepted as truth and internalised by all cohorts, including older people and their friends and family (Duffy, 2017, p. 2074). In terms of what it means to age, narratives in Australia are characterised by terms such as </w:t>
      </w:r>
      <w:r w:rsidR="002258CF" w:rsidRPr="001E5744">
        <w:rPr>
          <w:rFonts w:ascii="Times New Roman" w:hAnsi="Times New Roman" w:cs="Times New Roman"/>
          <w:color w:val="000000"/>
        </w:rPr>
        <w:t>‘</w:t>
      </w:r>
      <w:r w:rsidRPr="001E5744">
        <w:rPr>
          <w:rFonts w:ascii="Times New Roman" w:hAnsi="Times New Roman" w:cs="Times New Roman"/>
          <w:color w:val="000000"/>
        </w:rPr>
        <w:t>healthy</w:t>
      </w:r>
      <w:r w:rsidR="002258CF" w:rsidRPr="001E5744">
        <w:rPr>
          <w:rFonts w:ascii="Times New Roman" w:hAnsi="Times New Roman" w:cs="Times New Roman"/>
          <w:color w:val="000000"/>
        </w:rPr>
        <w:t>’</w:t>
      </w:r>
      <w:r w:rsidRPr="001E5744">
        <w:rPr>
          <w:rFonts w:ascii="Times New Roman" w:hAnsi="Times New Roman" w:cs="Times New Roman"/>
          <w:color w:val="000000"/>
        </w:rPr>
        <w:t xml:space="preserve">, </w:t>
      </w:r>
      <w:r w:rsidR="002258CF" w:rsidRPr="001E5744">
        <w:rPr>
          <w:rFonts w:ascii="Times New Roman" w:hAnsi="Times New Roman" w:cs="Times New Roman"/>
          <w:color w:val="000000"/>
        </w:rPr>
        <w:t>‘</w:t>
      </w:r>
      <w:r w:rsidRPr="001E5744">
        <w:rPr>
          <w:rFonts w:ascii="Times New Roman" w:hAnsi="Times New Roman" w:cs="Times New Roman"/>
          <w:color w:val="000000"/>
        </w:rPr>
        <w:t>active</w:t>
      </w:r>
      <w:r w:rsidR="002258CF" w:rsidRPr="001E5744">
        <w:rPr>
          <w:rFonts w:ascii="Times New Roman" w:hAnsi="Times New Roman" w:cs="Times New Roman"/>
          <w:color w:val="000000"/>
        </w:rPr>
        <w:t>’</w:t>
      </w:r>
      <w:r w:rsidRPr="001E5744">
        <w:rPr>
          <w:rFonts w:ascii="Times New Roman" w:hAnsi="Times New Roman" w:cs="Times New Roman"/>
          <w:color w:val="000000"/>
        </w:rPr>
        <w:t xml:space="preserve">, </w:t>
      </w:r>
      <w:r w:rsidR="002258CF" w:rsidRPr="001E5744">
        <w:rPr>
          <w:rFonts w:ascii="Times New Roman" w:hAnsi="Times New Roman" w:cs="Times New Roman"/>
          <w:color w:val="000000"/>
        </w:rPr>
        <w:t>‘</w:t>
      </w:r>
      <w:r w:rsidRPr="001E5744">
        <w:rPr>
          <w:rFonts w:ascii="Times New Roman" w:hAnsi="Times New Roman" w:cs="Times New Roman"/>
          <w:color w:val="000000"/>
        </w:rPr>
        <w:t>successful</w:t>
      </w:r>
      <w:r w:rsidR="002258CF" w:rsidRPr="001E5744">
        <w:rPr>
          <w:rFonts w:ascii="Times New Roman" w:hAnsi="Times New Roman" w:cs="Times New Roman"/>
          <w:color w:val="000000"/>
        </w:rPr>
        <w:t>’</w:t>
      </w:r>
      <w:r w:rsidRPr="001E5744">
        <w:rPr>
          <w:rFonts w:ascii="Times New Roman" w:hAnsi="Times New Roman" w:cs="Times New Roman"/>
          <w:color w:val="000000"/>
        </w:rPr>
        <w:t xml:space="preserve">, </w:t>
      </w:r>
      <w:r w:rsidR="002258CF" w:rsidRPr="001E5744">
        <w:rPr>
          <w:rFonts w:ascii="Times New Roman" w:hAnsi="Times New Roman" w:cs="Times New Roman"/>
          <w:color w:val="000000"/>
        </w:rPr>
        <w:t>and ‘</w:t>
      </w:r>
      <w:r w:rsidRPr="001E5744">
        <w:rPr>
          <w:rFonts w:ascii="Times New Roman" w:hAnsi="Times New Roman" w:cs="Times New Roman"/>
          <w:color w:val="000000"/>
        </w:rPr>
        <w:t>productive</w:t>
      </w:r>
      <w:r w:rsidR="002258CF" w:rsidRPr="001E5744">
        <w:rPr>
          <w:rFonts w:ascii="Times New Roman" w:hAnsi="Times New Roman" w:cs="Times New Roman"/>
          <w:color w:val="000000"/>
        </w:rPr>
        <w:t>’</w:t>
      </w:r>
      <w:r w:rsidRPr="001E5744">
        <w:rPr>
          <w:rFonts w:ascii="Times New Roman" w:hAnsi="Times New Roman" w:cs="Times New Roman"/>
          <w:color w:val="000000"/>
        </w:rPr>
        <w:t xml:space="preserve"> which privilege mobility and movement, maintenance of a social life, financial independence and cognition</w:t>
      </w:r>
      <w:r w:rsidR="002258CF" w:rsidRPr="001E5744">
        <w:rPr>
          <w:rFonts w:ascii="Times New Roman" w:hAnsi="Times New Roman" w:cs="Times New Roman"/>
          <w:color w:val="000000"/>
        </w:rPr>
        <w:t xml:space="preserve"> (Duffy, 2017)</w:t>
      </w:r>
      <w:r w:rsidRPr="001E5744">
        <w:rPr>
          <w:rFonts w:ascii="Times New Roman" w:hAnsi="Times New Roman" w:cs="Times New Roman"/>
          <w:color w:val="000000"/>
        </w:rPr>
        <w:t xml:space="preserve">. </w:t>
      </w:r>
      <w:r w:rsidR="00142BB1" w:rsidRPr="001E5744">
        <w:rPr>
          <w:rFonts w:ascii="Times New Roman" w:hAnsi="Times New Roman" w:cs="Times New Roman"/>
          <w:color w:val="000000"/>
        </w:rPr>
        <w:t xml:space="preserve">A biomedical model lays the ground for </w:t>
      </w:r>
      <w:r w:rsidR="00CD14C6" w:rsidRPr="001E5744">
        <w:rPr>
          <w:rFonts w:ascii="Times New Roman" w:hAnsi="Times New Roman" w:cs="Times New Roman"/>
          <w:color w:val="000000"/>
        </w:rPr>
        <w:t>deficit-based</w:t>
      </w:r>
      <w:r w:rsidR="00142BB1" w:rsidRPr="001E5744">
        <w:rPr>
          <w:rFonts w:ascii="Times New Roman" w:hAnsi="Times New Roman" w:cs="Times New Roman"/>
          <w:color w:val="000000"/>
        </w:rPr>
        <w:t xml:space="preserve"> frameworks from which to understand the experience</w:t>
      </w:r>
      <w:r w:rsidR="00472E35" w:rsidRPr="001E5744">
        <w:rPr>
          <w:rFonts w:ascii="Times New Roman" w:hAnsi="Times New Roman" w:cs="Times New Roman"/>
          <w:color w:val="000000"/>
        </w:rPr>
        <w:t xml:space="preserve"> </w:t>
      </w:r>
      <w:r w:rsidR="00142BB1" w:rsidRPr="001E5744">
        <w:rPr>
          <w:rFonts w:ascii="Times New Roman" w:hAnsi="Times New Roman" w:cs="Times New Roman"/>
          <w:color w:val="000000"/>
        </w:rPr>
        <w:t xml:space="preserve">and </w:t>
      </w:r>
      <w:r w:rsidR="00070E9F" w:rsidRPr="001E5744">
        <w:rPr>
          <w:rFonts w:ascii="Times New Roman" w:hAnsi="Times New Roman" w:cs="Times New Roman"/>
          <w:color w:val="000000"/>
        </w:rPr>
        <w:t>pathologizes</w:t>
      </w:r>
      <w:r w:rsidR="00472E35" w:rsidRPr="001E5744">
        <w:rPr>
          <w:rFonts w:ascii="Times New Roman" w:hAnsi="Times New Roman" w:cs="Times New Roman"/>
          <w:color w:val="000000"/>
        </w:rPr>
        <w:t xml:space="preserve"> the</w:t>
      </w:r>
      <w:r w:rsidR="00142BB1" w:rsidRPr="001E5744">
        <w:rPr>
          <w:rFonts w:ascii="Times New Roman" w:hAnsi="Times New Roman" w:cs="Times New Roman"/>
          <w:color w:val="000000"/>
        </w:rPr>
        <w:t xml:space="preserve"> physical ageing of the body and mind as a condition that should be diagnosed and treated (</w:t>
      </w:r>
      <w:r w:rsidR="001A6ABC" w:rsidRPr="001E5744">
        <w:rPr>
          <w:rFonts w:ascii="Times New Roman" w:hAnsi="Times New Roman" w:cs="Times New Roman"/>
          <w:color w:val="000000"/>
        </w:rPr>
        <w:t xml:space="preserve">Macdonald &amp; Mears, </w:t>
      </w:r>
      <w:r w:rsidR="00142BB1" w:rsidRPr="001E5744">
        <w:rPr>
          <w:rFonts w:ascii="Times New Roman" w:hAnsi="Times New Roman" w:cs="Times New Roman"/>
          <w:color w:val="000000"/>
        </w:rPr>
        <w:t>201</w:t>
      </w:r>
      <w:r w:rsidR="00BC42C4" w:rsidRPr="001E5744">
        <w:rPr>
          <w:rFonts w:ascii="Times New Roman" w:hAnsi="Times New Roman" w:cs="Times New Roman"/>
          <w:color w:val="000000"/>
        </w:rPr>
        <w:t>9</w:t>
      </w:r>
      <w:r w:rsidR="00142BB1" w:rsidRPr="001E5744">
        <w:rPr>
          <w:rFonts w:ascii="Times New Roman" w:hAnsi="Times New Roman" w:cs="Times New Roman"/>
          <w:color w:val="000000"/>
        </w:rPr>
        <w:t xml:space="preserve">). </w:t>
      </w:r>
      <w:r w:rsidR="00472E35" w:rsidRPr="001E5744">
        <w:rPr>
          <w:rFonts w:ascii="Times New Roman" w:hAnsi="Times New Roman" w:cs="Times New Roman"/>
          <w:color w:val="000000"/>
        </w:rPr>
        <w:t>Thus, it</w:t>
      </w:r>
      <w:r w:rsidR="00142BB1" w:rsidRPr="001E5744">
        <w:rPr>
          <w:rFonts w:ascii="Times New Roman" w:hAnsi="Times New Roman" w:cs="Times New Roman"/>
          <w:color w:val="000000"/>
        </w:rPr>
        <w:t xml:space="preserve"> is not always the most beneficial </w:t>
      </w:r>
      <w:r w:rsidR="00472E35" w:rsidRPr="001E5744">
        <w:rPr>
          <w:rFonts w:ascii="Times New Roman" w:hAnsi="Times New Roman" w:cs="Times New Roman"/>
          <w:color w:val="000000"/>
        </w:rPr>
        <w:t>perspective</w:t>
      </w:r>
      <w:r w:rsidR="00142BB1" w:rsidRPr="001E5744">
        <w:rPr>
          <w:rFonts w:ascii="Times New Roman" w:hAnsi="Times New Roman" w:cs="Times New Roman"/>
          <w:color w:val="000000"/>
        </w:rPr>
        <w:t xml:space="preserve"> when it comes </w:t>
      </w:r>
      <w:r w:rsidR="00472E35" w:rsidRPr="001E5744">
        <w:rPr>
          <w:rFonts w:ascii="Times New Roman" w:hAnsi="Times New Roman" w:cs="Times New Roman"/>
          <w:color w:val="000000"/>
        </w:rPr>
        <w:t>to</w:t>
      </w:r>
      <w:r w:rsidR="00142BB1" w:rsidRPr="001E5744">
        <w:rPr>
          <w:rFonts w:ascii="Times New Roman" w:hAnsi="Times New Roman" w:cs="Times New Roman"/>
          <w:color w:val="000000"/>
        </w:rPr>
        <w:t xml:space="preserve"> learning how to live a good life with dementia. </w:t>
      </w:r>
    </w:p>
    <w:p w14:paraId="3B3FDD3E" w14:textId="79A4B928" w:rsidR="00142BB1" w:rsidRDefault="001A6ABC"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 xml:space="preserve">Macdonald &amp; Mears </w:t>
      </w:r>
      <w:r w:rsidR="00733751" w:rsidRPr="001E5744">
        <w:rPr>
          <w:rFonts w:ascii="Times New Roman" w:hAnsi="Times New Roman" w:cs="Times New Roman"/>
          <w:color w:val="000000"/>
        </w:rPr>
        <w:t>(201</w:t>
      </w:r>
      <w:r w:rsidR="00BC42C4" w:rsidRPr="001E5744">
        <w:rPr>
          <w:rFonts w:ascii="Times New Roman" w:hAnsi="Times New Roman" w:cs="Times New Roman"/>
          <w:color w:val="000000"/>
        </w:rPr>
        <w:t>9</w:t>
      </w:r>
      <w:r w:rsidR="00733751" w:rsidRPr="001E5744">
        <w:rPr>
          <w:rFonts w:ascii="Times New Roman" w:hAnsi="Times New Roman" w:cs="Times New Roman"/>
          <w:color w:val="000000"/>
        </w:rPr>
        <w:t>, p. 7) argue that dementia is not the tragedy, but rather the tragedy is that “modern western societies have come to conceptualise humanness as individualised substance” where people are assigned different values and statutes. In turn, this positions people living with dementia as a problem that needs to be dealt with</w:t>
      </w:r>
      <w:r w:rsidR="00472E35" w:rsidRPr="001E5744">
        <w:rPr>
          <w:rFonts w:ascii="Times New Roman" w:hAnsi="Times New Roman" w:cs="Times New Roman"/>
          <w:color w:val="000000"/>
        </w:rPr>
        <w:t xml:space="preserve">. It presents dementia as </w:t>
      </w:r>
      <w:r w:rsidR="00733751" w:rsidRPr="001E5744">
        <w:rPr>
          <w:rFonts w:ascii="Times New Roman" w:hAnsi="Times New Roman" w:cs="Times New Roman"/>
          <w:color w:val="000000"/>
        </w:rPr>
        <w:t>a</w:t>
      </w:r>
      <w:r w:rsidR="00433118" w:rsidRPr="001E5744">
        <w:rPr>
          <w:rFonts w:ascii="Times New Roman" w:hAnsi="Times New Roman" w:cs="Times New Roman"/>
          <w:color w:val="000000"/>
        </w:rPr>
        <w:t xml:space="preserve"> tragic </w:t>
      </w:r>
      <w:r w:rsidR="00733751" w:rsidRPr="001E5744">
        <w:rPr>
          <w:rFonts w:ascii="Times New Roman" w:hAnsi="Times New Roman" w:cs="Times New Roman"/>
          <w:color w:val="000000"/>
        </w:rPr>
        <w:t>illness that renders someone unproductive</w:t>
      </w:r>
      <w:r w:rsidR="00433118" w:rsidRPr="001E5744">
        <w:rPr>
          <w:rFonts w:ascii="Times New Roman" w:hAnsi="Times New Roman" w:cs="Times New Roman"/>
          <w:color w:val="000000"/>
        </w:rPr>
        <w:t xml:space="preserve"> through a “slow and traumatising process of losing their personhood” (</w:t>
      </w:r>
      <w:r w:rsidRPr="001E5744">
        <w:rPr>
          <w:rFonts w:ascii="Times New Roman" w:hAnsi="Times New Roman" w:cs="Times New Roman"/>
          <w:color w:val="000000"/>
        </w:rPr>
        <w:t>Macdonald &amp; Mears</w:t>
      </w:r>
      <w:r w:rsidR="00433118" w:rsidRPr="001E5744">
        <w:rPr>
          <w:rFonts w:ascii="Times New Roman" w:hAnsi="Times New Roman" w:cs="Times New Roman"/>
          <w:color w:val="000000"/>
        </w:rPr>
        <w:t>,</w:t>
      </w:r>
      <w:r w:rsidRPr="001E5744">
        <w:rPr>
          <w:rFonts w:ascii="Times New Roman" w:hAnsi="Times New Roman" w:cs="Times New Roman"/>
          <w:color w:val="000000"/>
        </w:rPr>
        <w:t xml:space="preserve"> 201</w:t>
      </w:r>
      <w:r w:rsidR="00BC42C4" w:rsidRPr="001E5744">
        <w:rPr>
          <w:rFonts w:ascii="Times New Roman" w:hAnsi="Times New Roman" w:cs="Times New Roman"/>
          <w:color w:val="000000"/>
        </w:rPr>
        <w:t>9</w:t>
      </w:r>
      <w:r w:rsidR="0015405C" w:rsidRPr="001E5744">
        <w:rPr>
          <w:rFonts w:ascii="Times New Roman" w:hAnsi="Times New Roman" w:cs="Times New Roman"/>
          <w:color w:val="000000"/>
        </w:rPr>
        <w:t>,</w:t>
      </w:r>
      <w:r w:rsidR="00433118" w:rsidRPr="001E5744">
        <w:rPr>
          <w:rFonts w:ascii="Times New Roman" w:hAnsi="Times New Roman" w:cs="Times New Roman"/>
          <w:color w:val="000000"/>
        </w:rPr>
        <w:t xml:space="preserve"> p. 4)</w:t>
      </w:r>
      <w:r w:rsidR="00733751" w:rsidRPr="001E5744">
        <w:rPr>
          <w:rFonts w:ascii="Times New Roman" w:hAnsi="Times New Roman" w:cs="Times New Roman"/>
          <w:color w:val="000000"/>
        </w:rPr>
        <w:t xml:space="preserve">. </w:t>
      </w:r>
      <w:r w:rsidR="0016394B" w:rsidRPr="001E5744">
        <w:rPr>
          <w:rFonts w:ascii="Times New Roman" w:hAnsi="Times New Roman" w:cs="Times New Roman"/>
          <w:color w:val="000000"/>
        </w:rPr>
        <w:t xml:space="preserve">Stigma can be further magnified </w:t>
      </w:r>
      <w:r w:rsidR="004A0B1D" w:rsidRPr="001E5744">
        <w:rPr>
          <w:rFonts w:ascii="Times New Roman" w:hAnsi="Times New Roman" w:cs="Times New Roman"/>
          <w:color w:val="000000"/>
        </w:rPr>
        <w:t xml:space="preserve">by </w:t>
      </w:r>
      <w:r w:rsidR="002258CF" w:rsidRPr="001E5744">
        <w:rPr>
          <w:rFonts w:ascii="Times New Roman" w:hAnsi="Times New Roman" w:cs="Times New Roman"/>
          <w:color w:val="000000"/>
        </w:rPr>
        <w:t xml:space="preserve">these </w:t>
      </w:r>
      <w:r w:rsidR="004A0B1D" w:rsidRPr="001E5744">
        <w:rPr>
          <w:rFonts w:ascii="Times New Roman" w:hAnsi="Times New Roman" w:cs="Times New Roman"/>
          <w:color w:val="000000"/>
        </w:rPr>
        <w:t>ageist cultural attitudes that view the person as incapable (</w:t>
      </w:r>
      <w:r w:rsidRPr="001E5744">
        <w:rPr>
          <w:rFonts w:ascii="Times New Roman" w:hAnsi="Times New Roman" w:cs="Times New Roman"/>
          <w:color w:val="000000"/>
        </w:rPr>
        <w:t>Macdonald &amp; Mears</w:t>
      </w:r>
      <w:r w:rsidR="004A0B1D" w:rsidRPr="001E5744">
        <w:rPr>
          <w:rFonts w:ascii="Times New Roman" w:hAnsi="Times New Roman" w:cs="Times New Roman"/>
          <w:color w:val="000000"/>
        </w:rPr>
        <w:t>, 201</w:t>
      </w:r>
      <w:r w:rsidR="00D3595D" w:rsidRPr="001E5744">
        <w:rPr>
          <w:rFonts w:ascii="Times New Roman" w:hAnsi="Times New Roman" w:cs="Times New Roman"/>
          <w:color w:val="000000"/>
        </w:rPr>
        <w:t>9</w:t>
      </w:r>
      <w:r w:rsidR="004A0B1D" w:rsidRPr="001E5744">
        <w:rPr>
          <w:rFonts w:ascii="Times New Roman" w:hAnsi="Times New Roman" w:cs="Times New Roman"/>
          <w:color w:val="000000"/>
        </w:rPr>
        <w:t xml:space="preserve">). </w:t>
      </w:r>
      <w:r w:rsidR="00733751" w:rsidRPr="001E5744">
        <w:rPr>
          <w:rFonts w:ascii="Times New Roman" w:hAnsi="Times New Roman" w:cs="Times New Roman"/>
          <w:color w:val="000000"/>
        </w:rPr>
        <w:t xml:space="preserve">These attitudes can be harmful </w:t>
      </w:r>
      <w:r w:rsidR="0015405C" w:rsidRPr="001E5744">
        <w:rPr>
          <w:rFonts w:ascii="Times New Roman" w:hAnsi="Times New Roman" w:cs="Times New Roman"/>
          <w:color w:val="000000"/>
        </w:rPr>
        <w:t xml:space="preserve">as </w:t>
      </w:r>
      <w:r w:rsidR="000A0675" w:rsidRPr="001E5744">
        <w:rPr>
          <w:rFonts w:ascii="Times New Roman" w:hAnsi="Times New Roman" w:cs="Times New Roman"/>
          <w:color w:val="000000"/>
        </w:rPr>
        <w:t>people with dementia can be defined through a deficit-based lens, where the</w:t>
      </w:r>
      <w:r w:rsidR="00D14A37" w:rsidRPr="001E5744">
        <w:rPr>
          <w:rFonts w:ascii="Times New Roman" w:hAnsi="Times New Roman" w:cs="Times New Roman"/>
          <w:color w:val="000000"/>
        </w:rPr>
        <w:t xml:space="preserve"> </w:t>
      </w:r>
      <w:r w:rsidR="000A0675" w:rsidRPr="001E5744">
        <w:rPr>
          <w:rFonts w:ascii="Times New Roman" w:hAnsi="Times New Roman" w:cs="Times New Roman"/>
          <w:color w:val="000000"/>
        </w:rPr>
        <w:t>“starting point is negative”</w:t>
      </w:r>
      <w:r w:rsidR="00D14A37" w:rsidRPr="001E5744">
        <w:rPr>
          <w:rFonts w:ascii="Times New Roman" w:hAnsi="Times New Roman" w:cs="Times New Roman"/>
          <w:color w:val="000000"/>
        </w:rPr>
        <w:t xml:space="preserve">; the focus </w:t>
      </w:r>
      <w:r w:rsidR="006E273A" w:rsidRPr="001E5744">
        <w:rPr>
          <w:rFonts w:ascii="Times New Roman" w:hAnsi="Times New Roman" w:cs="Times New Roman"/>
          <w:color w:val="000000"/>
        </w:rPr>
        <w:t>on</w:t>
      </w:r>
      <w:r w:rsidR="00D14A37" w:rsidRPr="001E5744">
        <w:rPr>
          <w:rFonts w:ascii="Times New Roman" w:hAnsi="Times New Roman" w:cs="Times New Roman"/>
          <w:color w:val="000000"/>
        </w:rPr>
        <w:t xml:space="preserve"> illness rather than wellness</w:t>
      </w:r>
      <w:r w:rsidR="000A0675" w:rsidRPr="001E5744">
        <w:rPr>
          <w:rFonts w:ascii="Times New Roman" w:hAnsi="Times New Roman" w:cs="Times New Roman"/>
          <w:color w:val="000000"/>
        </w:rPr>
        <w:t xml:space="preserve"> (Macdonald &amp; Mears, 2019, p. 8). </w:t>
      </w:r>
      <w:r w:rsidR="00D14A37" w:rsidRPr="001E5744">
        <w:rPr>
          <w:rFonts w:ascii="Times New Roman" w:hAnsi="Times New Roman" w:cs="Times New Roman"/>
          <w:color w:val="000000"/>
        </w:rPr>
        <w:t>It d</w:t>
      </w:r>
      <w:r w:rsidR="0015405C" w:rsidRPr="001E5744">
        <w:rPr>
          <w:rFonts w:ascii="Times New Roman" w:hAnsi="Times New Roman" w:cs="Times New Roman"/>
          <w:color w:val="000000"/>
        </w:rPr>
        <w:t>iminishes emotional, relational and sensual strengths by</w:t>
      </w:r>
      <w:r w:rsidR="00D14A37" w:rsidRPr="001E5744">
        <w:rPr>
          <w:rFonts w:ascii="Times New Roman" w:hAnsi="Times New Roman" w:cs="Times New Roman"/>
          <w:color w:val="000000"/>
        </w:rPr>
        <w:t xml:space="preserve"> valuing a person’s cognitive ability above all else</w:t>
      </w:r>
      <w:r w:rsidR="0015405C" w:rsidRPr="001E5744">
        <w:rPr>
          <w:rFonts w:ascii="Times New Roman" w:hAnsi="Times New Roman" w:cs="Times New Roman"/>
          <w:color w:val="000000"/>
        </w:rPr>
        <w:t xml:space="preserve"> (</w:t>
      </w:r>
      <w:r w:rsidR="00D14A37" w:rsidRPr="001E5744">
        <w:rPr>
          <w:rFonts w:ascii="Times New Roman" w:hAnsi="Times New Roman" w:cs="Times New Roman"/>
          <w:color w:val="000000"/>
        </w:rPr>
        <w:t xml:space="preserve">Macdonald &amp; Mears, 2019, </w:t>
      </w:r>
      <w:r w:rsidR="0015405C" w:rsidRPr="001E5744">
        <w:rPr>
          <w:rFonts w:ascii="Times New Roman" w:hAnsi="Times New Roman" w:cs="Times New Roman"/>
          <w:color w:val="000000"/>
        </w:rPr>
        <w:t>p.3). By not embracing a collective model or social understanding of cognitive change, dementia is viewed as a burden on society</w:t>
      </w:r>
      <w:r w:rsidR="006E273A" w:rsidRPr="001E5744">
        <w:rPr>
          <w:rFonts w:ascii="Times New Roman" w:hAnsi="Times New Roman" w:cs="Times New Roman"/>
          <w:color w:val="000000"/>
        </w:rPr>
        <w:t xml:space="preserve"> </w:t>
      </w:r>
      <w:r w:rsidR="0015405C" w:rsidRPr="001E5744">
        <w:rPr>
          <w:rFonts w:ascii="Times New Roman" w:hAnsi="Times New Roman" w:cs="Times New Roman"/>
          <w:color w:val="000000"/>
        </w:rPr>
        <w:t xml:space="preserve">and </w:t>
      </w:r>
      <w:r w:rsidR="00D14A37" w:rsidRPr="001E5744">
        <w:rPr>
          <w:rFonts w:ascii="Times New Roman" w:hAnsi="Times New Roman" w:cs="Times New Roman"/>
          <w:color w:val="000000"/>
        </w:rPr>
        <w:t xml:space="preserve">continues to </w:t>
      </w:r>
      <w:r w:rsidR="00F0255E" w:rsidRPr="001E5744">
        <w:rPr>
          <w:rFonts w:ascii="Times New Roman" w:hAnsi="Times New Roman" w:cs="Times New Roman"/>
          <w:color w:val="000000"/>
        </w:rPr>
        <w:t>locate</w:t>
      </w:r>
      <w:r w:rsidR="0015405C" w:rsidRPr="001E5744">
        <w:rPr>
          <w:rFonts w:ascii="Times New Roman" w:hAnsi="Times New Roman" w:cs="Times New Roman"/>
          <w:color w:val="000000"/>
        </w:rPr>
        <w:t xml:space="preserve"> the problem within the individual</w:t>
      </w:r>
      <w:r w:rsidR="00D14A37" w:rsidRPr="001E5744">
        <w:rPr>
          <w:rFonts w:ascii="Times New Roman" w:hAnsi="Times New Roman" w:cs="Times New Roman"/>
          <w:color w:val="000000"/>
        </w:rPr>
        <w:t>.</w:t>
      </w:r>
      <w:r w:rsidR="002258CF" w:rsidRPr="001E5744">
        <w:rPr>
          <w:rFonts w:ascii="Times New Roman" w:hAnsi="Times New Roman" w:cs="Times New Roman"/>
          <w:color w:val="000000"/>
        </w:rPr>
        <w:t xml:space="preserve"> </w:t>
      </w:r>
    </w:p>
    <w:p w14:paraId="46E41D14" w14:textId="77777777" w:rsidR="00A81632" w:rsidRDefault="00A81632" w:rsidP="001E5744">
      <w:pPr>
        <w:spacing w:before="240" w:after="240" w:line="360" w:lineRule="auto"/>
        <w:rPr>
          <w:rFonts w:ascii="Times New Roman" w:hAnsi="Times New Roman" w:cs="Times New Roman"/>
          <w:color w:val="000000"/>
        </w:rPr>
      </w:pPr>
    </w:p>
    <w:p w14:paraId="203EDB8A" w14:textId="77777777" w:rsidR="00A81632" w:rsidRPr="001E5744" w:rsidRDefault="00A81632" w:rsidP="001E5744">
      <w:pPr>
        <w:spacing w:before="240" w:after="240" w:line="360" w:lineRule="auto"/>
        <w:rPr>
          <w:rFonts w:ascii="Times New Roman" w:hAnsi="Times New Roman" w:cs="Times New Roman"/>
          <w:b/>
          <w:bCs/>
          <w:color w:val="000000"/>
        </w:rPr>
      </w:pPr>
    </w:p>
    <w:p w14:paraId="592FB4EA" w14:textId="77777777" w:rsidR="00733751" w:rsidRPr="001E5744" w:rsidRDefault="00733751"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lastRenderedPageBreak/>
        <w:t xml:space="preserve">Marketisation of Aged Care </w:t>
      </w:r>
    </w:p>
    <w:p w14:paraId="20808884" w14:textId="196ADDA0" w:rsidR="00FA6B37" w:rsidRPr="001E5744" w:rsidRDefault="00733751"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 xml:space="preserve">Neoliberal agendas of successive conservative governments have contributed to the marketisation of aged care </w:t>
      </w:r>
      <w:r w:rsidR="002258CF" w:rsidRPr="001E5744">
        <w:rPr>
          <w:rFonts w:ascii="Times New Roman" w:hAnsi="Times New Roman" w:cs="Times New Roman"/>
          <w:color w:val="000000"/>
        </w:rPr>
        <w:t>with</w:t>
      </w:r>
      <w:r w:rsidRPr="001E5744">
        <w:rPr>
          <w:rFonts w:ascii="Times New Roman" w:hAnsi="Times New Roman" w:cs="Times New Roman"/>
          <w:color w:val="000000"/>
        </w:rPr>
        <w:t xml:space="preserve"> policy shifts towards consumer directed care (Henderson &amp; Willis, 2020). The privatisation of aged care services in Australia can conflate human rights with consumer rights, i.e., it promotes the rhetoric that all older people have equal opportunity to choose they care they want (Henderson &amp; Willis, 2020, p. 258). However, this fails to account for vulnerable populations and assumes that everyone has the capacity to choose between aged care services. </w:t>
      </w:r>
      <w:r w:rsidR="00142BB1" w:rsidRPr="001E5744">
        <w:rPr>
          <w:rFonts w:ascii="Times New Roman" w:hAnsi="Times New Roman" w:cs="Times New Roman"/>
          <w:color w:val="000000"/>
        </w:rPr>
        <w:t xml:space="preserve">People living with dementia must also compete alongside others to access to resources in </w:t>
      </w:r>
      <w:r w:rsidR="00472E35" w:rsidRPr="001E5744">
        <w:rPr>
          <w:rFonts w:ascii="Times New Roman" w:hAnsi="Times New Roman" w:cs="Times New Roman"/>
          <w:color w:val="000000"/>
        </w:rPr>
        <w:t xml:space="preserve">a </w:t>
      </w:r>
      <w:r w:rsidR="00142BB1" w:rsidRPr="001E5744">
        <w:rPr>
          <w:rFonts w:ascii="Times New Roman" w:hAnsi="Times New Roman" w:cs="Times New Roman"/>
          <w:color w:val="000000"/>
        </w:rPr>
        <w:t>society based on self-interest (</w:t>
      </w:r>
      <w:r w:rsidR="001A6ABC" w:rsidRPr="001E5744">
        <w:rPr>
          <w:rFonts w:ascii="Times New Roman" w:hAnsi="Times New Roman" w:cs="Times New Roman"/>
          <w:color w:val="000000"/>
        </w:rPr>
        <w:t>Macdonald &amp; Mears</w:t>
      </w:r>
      <w:r w:rsidR="00142BB1" w:rsidRPr="001E5744">
        <w:rPr>
          <w:rFonts w:ascii="Times New Roman" w:hAnsi="Times New Roman" w:cs="Times New Roman"/>
          <w:color w:val="000000"/>
        </w:rPr>
        <w:t>, 201</w:t>
      </w:r>
      <w:r w:rsidR="00BC42C4" w:rsidRPr="001E5744">
        <w:rPr>
          <w:rFonts w:ascii="Times New Roman" w:hAnsi="Times New Roman" w:cs="Times New Roman"/>
          <w:color w:val="000000"/>
        </w:rPr>
        <w:t>9</w:t>
      </w:r>
      <w:r w:rsidR="00142BB1" w:rsidRPr="001E5744">
        <w:rPr>
          <w:rFonts w:ascii="Times New Roman" w:hAnsi="Times New Roman" w:cs="Times New Roman"/>
          <w:color w:val="000000"/>
        </w:rPr>
        <w:t>, p. 23). Thus,</w:t>
      </w:r>
      <w:r w:rsidRPr="001E5744">
        <w:rPr>
          <w:rFonts w:ascii="Times New Roman" w:hAnsi="Times New Roman" w:cs="Times New Roman"/>
          <w:color w:val="000000"/>
        </w:rPr>
        <w:t xml:space="preserve"> their degree of </w:t>
      </w:r>
      <w:r w:rsidR="00D61ADB" w:rsidRPr="001E5744">
        <w:rPr>
          <w:rFonts w:ascii="Times New Roman" w:hAnsi="Times New Roman" w:cs="Times New Roman"/>
          <w:color w:val="000000"/>
        </w:rPr>
        <w:t>disability</w:t>
      </w:r>
      <w:r w:rsidRPr="001E5744">
        <w:rPr>
          <w:rFonts w:ascii="Times New Roman" w:hAnsi="Times New Roman" w:cs="Times New Roman"/>
          <w:color w:val="000000"/>
        </w:rPr>
        <w:t xml:space="preserve"> can limit the</w:t>
      </w:r>
      <w:r w:rsidR="00142BB1" w:rsidRPr="001E5744">
        <w:rPr>
          <w:rFonts w:ascii="Times New Roman" w:hAnsi="Times New Roman" w:cs="Times New Roman"/>
          <w:color w:val="000000"/>
        </w:rPr>
        <w:t>ir</w:t>
      </w:r>
      <w:r w:rsidRPr="001E5744">
        <w:rPr>
          <w:rFonts w:ascii="Times New Roman" w:hAnsi="Times New Roman" w:cs="Times New Roman"/>
          <w:color w:val="000000"/>
        </w:rPr>
        <w:t xml:space="preserve"> capacity for consumer choice </w:t>
      </w:r>
      <w:r w:rsidR="00142BB1" w:rsidRPr="001E5744">
        <w:rPr>
          <w:rFonts w:ascii="Times New Roman" w:hAnsi="Times New Roman" w:cs="Times New Roman"/>
          <w:color w:val="000000"/>
        </w:rPr>
        <w:t xml:space="preserve">due to </w:t>
      </w:r>
      <w:r w:rsidRPr="001E5744">
        <w:rPr>
          <w:rFonts w:ascii="Times New Roman" w:hAnsi="Times New Roman" w:cs="Times New Roman"/>
          <w:color w:val="000000"/>
        </w:rPr>
        <w:t>long wait lists for home care services or residential aged care facilities, further amplified by a scarcity of dementia specific services or facilities that can cater for diversity (</w:t>
      </w:r>
      <w:r w:rsidR="00391297" w:rsidRPr="001E5744">
        <w:rPr>
          <w:rFonts w:ascii="Times New Roman" w:hAnsi="Times New Roman" w:cs="Times New Roman"/>
          <w:color w:val="000000"/>
        </w:rPr>
        <w:t>Gilbert et al.</w:t>
      </w:r>
      <w:r w:rsidR="00D3595D" w:rsidRPr="001E5744">
        <w:rPr>
          <w:rFonts w:ascii="Times New Roman" w:hAnsi="Times New Roman" w:cs="Times New Roman"/>
          <w:color w:val="000000"/>
        </w:rPr>
        <w:t>,</w:t>
      </w:r>
      <w:r w:rsidR="00391297" w:rsidRPr="001E5744">
        <w:rPr>
          <w:rFonts w:ascii="Times New Roman" w:hAnsi="Times New Roman" w:cs="Times New Roman"/>
          <w:color w:val="000000"/>
        </w:rPr>
        <w:t xml:space="preserve"> 20</w:t>
      </w:r>
      <w:r w:rsidR="00EB2298" w:rsidRPr="001E5744">
        <w:rPr>
          <w:rFonts w:ascii="Times New Roman" w:hAnsi="Times New Roman" w:cs="Times New Roman"/>
          <w:color w:val="000000"/>
        </w:rPr>
        <w:t>2</w:t>
      </w:r>
      <w:r w:rsidR="00F72938" w:rsidRPr="001E5744">
        <w:rPr>
          <w:rFonts w:ascii="Times New Roman" w:hAnsi="Times New Roman" w:cs="Times New Roman"/>
          <w:color w:val="000000"/>
        </w:rPr>
        <w:t>2</w:t>
      </w:r>
      <w:r w:rsidRPr="001E5744">
        <w:rPr>
          <w:rFonts w:ascii="Times New Roman" w:hAnsi="Times New Roman" w:cs="Times New Roman"/>
          <w:color w:val="000000"/>
        </w:rPr>
        <w:t xml:space="preserve">).  </w:t>
      </w:r>
      <w:r w:rsidR="00FA6B37" w:rsidRPr="001E5744">
        <w:rPr>
          <w:rFonts w:ascii="Times New Roman" w:hAnsi="Times New Roman" w:cs="Times New Roman"/>
          <w:color w:val="000000"/>
        </w:rPr>
        <w:t>The Royal Commission into Aged Care Quality and Safety’s Interim Report described Australia’s aged care system as “a shocking tale of neglect”, that:</w:t>
      </w:r>
    </w:p>
    <w:p w14:paraId="2F25E961" w14:textId="53EE6DAB" w:rsidR="00CD14C6" w:rsidRPr="001E5744" w:rsidRDefault="00BC431A" w:rsidP="001E5744">
      <w:pPr>
        <w:spacing w:before="240" w:after="240" w:line="360" w:lineRule="auto"/>
        <w:ind w:left="284" w:right="95"/>
        <w:rPr>
          <w:rFonts w:ascii="Times New Roman" w:hAnsi="Times New Roman" w:cs="Times New Roman"/>
          <w:color w:val="000000"/>
          <w:sz w:val="23"/>
          <w:szCs w:val="23"/>
        </w:rPr>
      </w:pPr>
      <w:r>
        <w:rPr>
          <w:rFonts w:ascii="Times New Roman" w:hAnsi="Times New Roman" w:cs="Times New Roman"/>
          <w:color w:val="000000"/>
          <w:sz w:val="23"/>
          <w:szCs w:val="23"/>
        </w:rPr>
        <w:t>F</w:t>
      </w:r>
      <w:r w:rsidR="00315E0C" w:rsidRPr="001E5744">
        <w:rPr>
          <w:rFonts w:ascii="Times New Roman" w:hAnsi="Times New Roman" w:cs="Times New Roman"/>
          <w:color w:val="000000"/>
          <w:sz w:val="23"/>
          <w:szCs w:val="23"/>
        </w:rPr>
        <w:t>ails to meet the needs of our older, often very vulnerable, citizens. It does not deliver uniformly safe and quality care for older people. It is unkind and uncaring towards them. In too many instances, it simply neglects them.</w:t>
      </w:r>
      <w:r w:rsidR="00FA6B37" w:rsidRPr="001E5744">
        <w:rPr>
          <w:rFonts w:ascii="Times New Roman" w:hAnsi="Times New Roman" w:cs="Times New Roman"/>
          <w:color w:val="000000"/>
          <w:sz w:val="23"/>
          <w:szCs w:val="23"/>
        </w:rPr>
        <w:t xml:space="preserve"> (2019</w:t>
      </w:r>
      <w:r w:rsidR="00315E0C" w:rsidRPr="001E5744">
        <w:rPr>
          <w:rFonts w:ascii="Times New Roman" w:hAnsi="Times New Roman" w:cs="Times New Roman"/>
          <w:color w:val="000000"/>
          <w:sz w:val="23"/>
          <w:szCs w:val="23"/>
        </w:rPr>
        <w:t>, p. 1</w:t>
      </w:r>
      <w:r w:rsidR="00FA6B37" w:rsidRPr="001E5744">
        <w:rPr>
          <w:rFonts w:ascii="Times New Roman" w:hAnsi="Times New Roman" w:cs="Times New Roman"/>
          <w:color w:val="000000"/>
          <w:sz w:val="23"/>
          <w:szCs w:val="23"/>
        </w:rPr>
        <w:t>)</w:t>
      </w:r>
    </w:p>
    <w:p w14:paraId="121A4FD8" w14:textId="42D71E22" w:rsidR="005C6FCF" w:rsidRPr="001E5744" w:rsidRDefault="005C6FCF"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Ambiguous Loss</w:t>
      </w:r>
    </w:p>
    <w:p w14:paraId="5CCB80F4" w14:textId="3A315C4D" w:rsidR="00CD14C6" w:rsidRPr="001E5744" w:rsidRDefault="005C6FCF"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Ambiguous loss in the context of dementia can be used to describe the type of loss felt when a person with dementia is physically there but gradually losing their emotional and mental presence in their family members’ lives as their cognition changes (Dupuis, 200</w:t>
      </w:r>
      <w:r w:rsidR="003124C5" w:rsidRPr="001E5744">
        <w:rPr>
          <w:rFonts w:ascii="Times New Roman" w:hAnsi="Times New Roman" w:cs="Times New Roman"/>
          <w:color w:val="000000"/>
        </w:rPr>
        <w:t>2</w:t>
      </w:r>
      <w:r w:rsidRPr="001E5744">
        <w:rPr>
          <w:rFonts w:ascii="Times New Roman" w:hAnsi="Times New Roman" w:cs="Times New Roman"/>
          <w:color w:val="000000"/>
        </w:rPr>
        <w:t xml:space="preserve">, p. 95). Viewing this from </w:t>
      </w:r>
      <w:r w:rsidR="00142BB1" w:rsidRPr="001E5744">
        <w:rPr>
          <w:rFonts w:ascii="Times New Roman" w:hAnsi="Times New Roman" w:cs="Times New Roman"/>
          <w:color w:val="000000"/>
        </w:rPr>
        <w:t>a</w:t>
      </w:r>
      <w:r w:rsidRPr="001E5744">
        <w:rPr>
          <w:rFonts w:ascii="Times New Roman" w:hAnsi="Times New Roman" w:cs="Times New Roman"/>
          <w:color w:val="000000"/>
        </w:rPr>
        <w:t xml:space="preserve"> </w:t>
      </w:r>
      <w:r w:rsidR="00D33F95" w:rsidRPr="001E5744">
        <w:rPr>
          <w:rFonts w:ascii="Times New Roman" w:hAnsi="Times New Roman" w:cs="Times New Roman"/>
          <w:color w:val="000000"/>
        </w:rPr>
        <w:t>life course perspective</w:t>
      </w:r>
      <w:r w:rsidRPr="001E5744">
        <w:rPr>
          <w:rFonts w:ascii="Times New Roman" w:hAnsi="Times New Roman" w:cs="Times New Roman"/>
          <w:color w:val="000000"/>
        </w:rPr>
        <w:t>, we can see this as a gradual transition where family and carers lives are also affected by the change in trajectory given their relationship to one another (Hutchison, 2019). For example, a midlife adult</w:t>
      </w:r>
      <w:r w:rsidR="00D33F95" w:rsidRPr="001E5744">
        <w:rPr>
          <w:rFonts w:ascii="Times New Roman" w:hAnsi="Times New Roman" w:cs="Times New Roman"/>
          <w:color w:val="000000"/>
        </w:rPr>
        <w:t>’s</w:t>
      </w:r>
      <w:r w:rsidRPr="001E5744">
        <w:rPr>
          <w:rFonts w:ascii="Times New Roman" w:hAnsi="Times New Roman" w:cs="Times New Roman"/>
          <w:color w:val="000000"/>
        </w:rPr>
        <w:t xml:space="preserve"> role may transform to a caregiving one as their parents age</w:t>
      </w:r>
      <w:r w:rsidR="00391297" w:rsidRPr="001E5744">
        <w:rPr>
          <w:rFonts w:ascii="Times New Roman" w:hAnsi="Times New Roman" w:cs="Times New Roman"/>
          <w:color w:val="000000"/>
        </w:rPr>
        <w:t xml:space="preserve">. </w:t>
      </w:r>
      <w:r w:rsidR="00DF3809" w:rsidRPr="001E5744">
        <w:rPr>
          <w:rFonts w:ascii="Times New Roman" w:hAnsi="Times New Roman" w:cs="Times New Roman"/>
          <w:color w:val="000000"/>
        </w:rPr>
        <w:t>According to Nathanson and Rogers (20</w:t>
      </w:r>
      <w:r w:rsidR="00D3595D" w:rsidRPr="001E5744">
        <w:rPr>
          <w:rFonts w:ascii="Times New Roman" w:hAnsi="Times New Roman" w:cs="Times New Roman"/>
          <w:color w:val="000000"/>
        </w:rPr>
        <w:t>21</w:t>
      </w:r>
      <w:r w:rsidR="00DF3809" w:rsidRPr="001E5744">
        <w:rPr>
          <w:rFonts w:ascii="Times New Roman" w:hAnsi="Times New Roman" w:cs="Times New Roman"/>
          <w:color w:val="000000"/>
        </w:rPr>
        <w:t>), the interaction of continuous loss and ambiguity “inherent in dementia yields worse mental health outcomes compared with other caregivers”</w:t>
      </w:r>
      <w:r w:rsidR="00315E0C" w:rsidRPr="001E5744">
        <w:rPr>
          <w:rFonts w:ascii="Times New Roman" w:hAnsi="Times New Roman" w:cs="Times New Roman"/>
          <w:color w:val="000000"/>
        </w:rPr>
        <w:t xml:space="preserve"> (Nathanson &amp; Rogers, 2021, p. 270)</w:t>
      </w:r>
      <w:r w:rsidR="00DF3809" w:rsidRPr="001E5744">
        <w:rPr>
          <w:rFonts w:ascii="Times New Roman" w:hAnsi="Times New Roman" w:cs="Times New Roman"/>
          <w:color w:val="000000"/>
        </w:rPr>
        <w:t>.</w:t>
      </w:r>
      <w:r w:rsidR="00C51176" w:rsidRPr="001E5744">
        <w:rPr>
          <w:rFonts w:ascii="Times New Roman" w:hAnsi="Times New Roman" w:cs="Times New Roman"/>
          <w:color w:val="000000"/>
        </w:rPr>
        <w:t xml:space="preserve"> Compared with other chronic illness caregivers, dementia caregivers can experience </w:t>
      </w:r>
      <w:r w:rsidR="00DF3809" w:rsidRPr="001E5744">
        <w:rPr>
          <w:rFonts w:ascii="Times New Roman" w:hAnsi="Times New Roman" w:cs="Times New Roman"/>
          <w:color w:val="000000"/>
        </w:rPr>
        <w:t xml:space="preserve">an increased risk of anxiety, anger, guilt, depression, social isolation and low self-esteem. </w:t>
      </w:r>
      <w:r w:rsidR="00C51176" w:rsidRPr="001E5744">
        <w:rPr>
          <w:rFonts w:ascii="Times New Roman" w:hAnsi="Times New Roman" w:cs="Times New Roman"/>
          <w:color w:val="000000"/>
        </w:rPr>
        <w:t xml:space="preserve">There are </w:t>
      </w:r>
      <w:r w:rsidR="006E273A" w:rsidRPr="001E5744">
        <w:rPr>
          <w:rFonts w:ascii="Times New Roman" w:hAnsi="Times New Roman" w:cs="Times New Roman"/>
          <w:color w:val="000000"/>
        </w:rPr>
        <w:t>several</w:t>
      </w:r>
      <w:r w:rsidR="00C51176" w:rsidRPr="001E5744">
        <w:rPr>
          <w:rFonts w:ascii="Times New Roman" w:hAnsi="Times New Roman" w:cs="Times New Roman"/>
          <w:color w:val="000000"/>
        </w:rPr>
        <w:t xml:space="preserve"> reasons for this including reduced ability to communicate with their loved one in the final stages of illness, the culmination of ongoing losses as the dementia progresses, and </w:t>
      </w:r>
      <w:r w:rsidR="00C51176" w:rsidRPr="001E5744">
        <w:rPr>
          <w:rFonts w:ascii="Times New Roman" w:hAnsi="Times New Roman" w:cs="Times New Roman"/>
          <w:color w:val="000000"/>
        </w:rPr>
        <w:lastRenderedPageBreak/>
        <w:t xml:space="preserve">the amount of time spend in the caregiving role (Arruda &amp; </w:t>
      </w:r>
      <w:proofErr w:type="spellStart"/>
      <w:r w:rsidR="00C51176" w:rsidRPr="001E5744">
        <w:rPr>
          <w:rFonts w:ascii="Times New Roman" w:hAnsi="Times New Roman" w:cs="Times New Roman"/>
          <w:color w:val="000000"/>
        </w:rPr>
        <w:t>Paun</w:t>
      </w:r>
      <w:proofErr w:type="spellEnd"/>
      <w:r w:rsidR="00C51176" w:rsidRPr="001E5744">
        <w:rPr>
          <w:rFonts w:ascii="Times New Roman" w:hAnsi="Times New Roman" w:cs="Times New Roman"/>
          <w:color w:val="000000"/>
        </w:rPr>
        <w:t xml:space="preserve">, 2017, p. 841). </w:t>
      </w:r>
      <w:r w:rsidRPr="001E5744">
        <w:rPr>
          <w:rFonts w:ascii="Times New Roman" w:hAnsi="Times New Roman" w:cs="Times New Roman"/>
          <w:color w:val="000000"/>
        </w:rPr>
        <w:t xml:space="preserve">These losses are not always recognised or named, yet they can create disconnect and relational disruptions (Nathanson &amp; Rogers, 2021, p. 268). Nathanson and Rogers (2021) use a dementia grief model to describe the sorts of loss carers can experience along the disease trajectory, including grieving the loss of the person they once knew, the loss of the relationship that once was, </w:t>
      </w:r>
      <w:r w:rsidR="00142BB1" w:rsidRPr="001E5744">
        <w:rPr>
          <w:rFonts w:ascii="Times New Roman" w:hAnsi="Times New Roman" w:cs="Times New Roman"/>
          <w:color w:val="000000"/>
        </w:rPr>
        <w:t>the</w:t>
      </w:r>
      <w:r w:rsidRPr="001E5744">
        <w:rPr>
          <w:rFonts w:ascii="Times New Roman" w:hAnsi="Times New Roman" w:cs="Times New Roman"/>
          <w:color w:val="000000"/>
        </w:rPr>
        <w:t xml:space="preserve"> transformation of one’s role </w:t>
      </w:r>
      <w:r w:rsidR="00142BB1" w:rsidRPr="001E5744">
        <w:rPr>
          <w:rFonts w:ascii="Times New Roman" w:hAnsi="Times New Roman" w:cs="Times New Roman"/>
          <w:color w:val="000000"/>
        </w:rPr>
        <w:t>and</w:t>
      </w:r>
      <w:r w:rsidRPr="001E5744">
        <w:rPr>
          <w:rFonts w:ascii="Times New Roman" w:hAnsi="Times New Roman" w:cs="Times New Roman"/>
          <w:color w:val="000000"/>
        </w:rPr>
        <w:t xml:space="preserve"> changes to expected or planned futures. There’s not always a sense of predictability nor closure in these relationships. Dupuis (200</w:t>
      </w:r>
      <w:r w:rsidR="00D3595D" w:rsidRPr="001E5744">
        <w:rPr>
          <w:rFonts w:ascii="Times New Roman" w:hAnsi="Times New Roman" w:cs="Times New Roman"/>
          <w:color w:val="000000"/>
        </w:rPr>
        <w:t>2</w:t>
      </w:r>
      <w:r w:rsidRPr="001E5744">
        <w:rPr>
          <w:rFonts w:ascii="Times New Roman" w:hAnsi="Times New Roman" w:cs="Times New Roman"/>
          <w:color w:val="000000"/>
        </w:rPr>
        <w:t xml:space="preserve">, p. 100) also notes that ambiguous loss can be one of the greatest stressors in caring for a person with dementia, and that this loss can be felt even more deeply if that person </w:t>
      </w:r>
      <w:proofErr w:type="gramStart"/>
      <w:r w:rsidRPr="001E5744">
        <w:rPr>
          <w:rFonts w:ascii="Times New Roman" w:hAnsi="Times New Roman" w:cs="Times New Roman"/>
          <w:color w:val="000000"/>
        </w:rPr>
        <w:t>has to</w:t>
      </w:r>
      <w:proofErr w:type="gramEnd"/>
      <w:r w:rsidRPr="001E5744">
        <w:rPr>
          <w:rFonts w:ascii="Times New Roman" w:hAnsi="Times New Roman" w:cs="Times New Roman"/>
          <w:color w:val="000000"/>
        </w:rPr>
        <w:t xml:space="preserve"> move to a residential care facility. Carers can be caught in a “complex emotional conflict” throughout the illness journey, with feelings of confusion and emotional bereavement while also constantly adapting to changes and their own evolving caregiver role (Gillies, 2011, p. 672). </w:t>
      </w:r>
    </w:p>
    <w:p w14:paraId="2DD3941E" w14:textId="0C91A77A" w:rsidR="00733F33" w:rsidRPr="001E5744" w:rsidRDefault="00391297"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Spotlight on C</w:t>
      </w:r>
      <w:r w:rsidR="00315E0C" w:rsidRPr="001E5744">
        <w:rPr>
          <w:rFonts w:ascii="Times New Roman" w:hAnsi="Times New Roman" w:cs="Times New Roman"/>
          <w:b/>
          <w:bCs/>
          <w:color w:val="C00000"/>
          <w:sz w:val="28"/>
          <w:szCs w:val="28"/>
        </w:rPr>
        <w:t xml:space="preserve">ulturally and Linguistically Diverse </w:t>
      </w:r>
      <w:r w:rsidR="006E273A" w:rsidRPr="001E5744">
        <w:rPr>
          <w:rFonts w:ascii="Times New Roman" w:hAnsi="Times New Roman" w:cs="Times New Roman"/>
          <w:b/>
          <w:bCs/>
          <w:color w:val="C00000"/>
          <w:sz w:val="28"/>
          <w:szCs w:val="28"/>
        </w:rPr>
        <w:t xml:space="preserve">(CALD) </w:t>
      </w:r>
      <w:r w:rsidRPr="001E5744">
        <w:rPr>
          <w:rFonts w:ascii="Times New Roman" w:hAnsi="Times New Roman" w:cs="Times New Roman"/>
          <w:b/>
          <w:bCs/>
          <w:color w:val="C00000"/>
          <w:sz w:val="28"/>
          <w:szCs w:val="28"/>
        </w:rPr>
        <w:t xml:space="preserve">Populations </w:t>
      </w:r>
    </w:p>
    <w:p w14:paraId="6ED0976B" w14:textId="60C787B1" w:rsidR="00CD14C6" w:rsidRPr="001E5744" w:rsidRDefault="00A11A15"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As discussed earlier, the pervasive ageism that exists within western societies such as Australia directly impacts how older people and their families from non-dominant cultures understand and experience ageing and access to aged care services and facilities</w:t>
      </w:r>
      <w:r w:rsidR="00A64F6A" w:rsidRPr="001E5744">
        <w:rPr>
          <w:rFonts w:ascii="Times New Roman" w:hAnsi="Times New Roman" w:cs="Times New Roman"/>
          <w:color w:val="000000"/>
        </w:rPr>
        <w:t xml:space="preserve"> (Shanley et al., 2012)</w:t>
      </w:r>
      <w:r w:rsidRPr="001E5744">
        <w:rPr>
          <w:rFonts w:ascii="Times New Roman" w:hAnsi="Times New Roman" w:cs="Times New Roman"/>
          <w:color w:val="000000"/>
        </w:rPr>
        <w:t xml:space="preserve">. </w:t>
      </w:r>
      <w:r w:rsidR="002679CF" w:rsidRPr="001E5744">
        <w:rPr>
          <w:rFonts w:ascii="Times New Roman" w:hAnsi="Times New Roman" w:cs="Times New Roman"/>
          <w:color w:val="000000"/>
        </w:rPr>
        <w:t>Dementia care can have its challenges for everyone in terms of structural burdens, including long wait lists</w:t>
      </w:r>
      <w:r w:rsidR="009640A5" w:rsidRPr="001E5744">
        <w:rPr>
          <w:rFonts w:ascii="Times New Roman" w:hAnsi="Times New Roman" w:cs="Times New Roman"/>
          <w:color w:val="000000"/>
        </w:rPr>
        <w:t xml:space="preserve"> and </w:t>
      </w:r>
      <w:r w:rsidR="002679CF" w:rsidRPr="001E5744">
        <w:rPr>
          <w:rFonts w:ascii="Times New Roman" w:hAnsi="Times New Roman" w:cs="Times New Roman"/>
          <w:color w:val="000000"/>
        </w:rPr>
        <w:t>poor transparency around home care packages (Gilbert et al.</w:t>
      </w:r>
      <w:r w:rsidR="00D3595D" w:rsidRPr="001E5744">
        <w:rPr>
          <w:rFonts w:ascii="Times New Roman" w:hAnsi="Times New Roman" w:cs="Times New Roman"/>
          <w:color w:val="000000"/>
        </w:rPr>
        <w:t>,</w:t>
      </w:r>
      <w:r w:rsidR="002679CF" w:rsidRPr="001E5744">
        <w:rPr>
          <w:rFonts w:ascii="Times New Roman" w:hAnsi="Times New Roman" w:cs="Times New Roman"/>
          <w:color w:val="000000"/>
        </w:rPr>
        <w:t xml:space="preserve"> 202</w:t>
      </w:r>
      <w:r w:rsidR="001A6ABC" w:rsidRPr="001E5744">
        <w:rPr>
          <w:rFonts w:ascii="Times New Roman" w:hAnsi="Times New Roman" w:cs="Times New Roman"/>
          <w:color w:val="000000"/>
        </w:rPr>
        <w:t>2</w:t>
      </w:r>
      <w:r w:rsidR="002679CF" w:rsidRPr="001E5744">
        <w:rPr>
          <w:rFonts w:ascii="Times New Roman" w:hAnsi="Times New Roman" w:cs="Times New Roman"/>
          <w:color w:val="000000"/>
        </w:rPr>
        <w:t xml:space="preserve">). However, these burdens can be amplified for older </w:t>
      </w:r>
      <w:r w:rsidR="00315E0C" w:rsidRPr="001E5744">
        <w:rPr>
          <w:rFonts w:ascii="Times New Roman" w:hAnsi="Times New Roman" w:cs="Times New Roman"/>
          <w:color w:val="000000"/>
        </w:rPr>
        <w:t>culturally and linguistically diverse (</w:t>
      </w:r>
      <w:r w:rsidR="002679CF" w:rsidRPr="001E5744">
        <w:rPr>
          <w:rFonts w:ascii="Times New Roman" w:hAnsi="Times New Roman" w:cs="Times New Roman"/>
          <w:color w:val="000000"/>
        </w:rPr>
        <w:t>CALD</w:t>
      </w:r>
      <w:r w:rsidR="00315E0C" w:rsidRPr="001E5744">
        <w:rPr>
          <w:rFonts w:ascii="Times New Roman" w:hAnsi="Times New Roman" w:cs="Times New Roman"/>
          <w:color w:val="000000"/>
        </w:rPr>
        <w:t>)</w:t>
      </w:r>
      <w:r w:rsidR="002679CF" w:rsidRPr="001E5744">
        <w:rPr>
          <w:rFonts w:ascii="Times New Roman" w:hAnsi="Times New Roman" w:cs="Times New Roman"/>
          <w:color w:val="000000"/>
        </w:rPr>
        <w:t xml:space="preserve"> people and their </w:t>
      </w:r>
      <w:proofErr w:type="spellStart"/>
      <w:r w:rsidR="002679CF" w:rsidRPr="001E5744">
        <w:rPr>
          <w:rFonts w:ascii="Times New Roman" w:hAnsi="Times New Roman" w:cs="Times New Roman"/>
          <w:color w:val="000000"/>
        </w:rPr>
        <w:t>carers</w:t>
      </w:r>
      <w:proofErr w:type="spellEnd"/>
      <w:r w:rsidR="002679CF" w:rsidRPr="001E5744">
        <w:rPr>
          <w:rFonts w:ascii="Times New Roman" w:hAnsi="Times New Roman" w:cs="Times New Roman"/>
          <w:color w:val="000000"/>
        </w:rPr>
        <w:t>, and manifest in different ways between different CALD groups</w:t>
      </w:r>
      <w:r w:rsidR="00FA6B37" w:rsidRPr="001E5744">
        <w:rPr>
          <w:rFonts w:ascii="Times New Roman" w:hAnsi="Times New Roman" w:cs="Times New Roman"/>
          <w:color w:val="000000"/>
        </w:rPr>
        <w:t xml:space="preserve"> (</w:t>
      </w:r>
      <w:r w:rsidR="00EB2BD6" w:rsidRPr="001E5744">
        <w:rPr>
          <w:rFonts w:ascii="Times New Roman" w:hAnsi="Times New Roman" w:cs="Times New Roman"/>
          <w:bCs/>
          <w:lang w:val="en-GB"/>
        </w:rPr>
        <w:t>Royal Commission into Aged Care Quality and Safety</w:t>
      </w:r>
      <w:r w:rsidR="00391297" w:rsidRPr="001E5744">
        <w:rPr>
          <w:rFonts w:ascii="Times New Roman" w:hAnsi="Times New Roman" w:cs="Times New Roman"/>
          <w:color w:val="000000"/>
        </w:rPr>
        <w:t>, 2021</w:t>
      </w:r>
      <w:r w:rsidR="00FA6B37" w:rsidRPr="001E5744">
        <w:rPr>
          <w:rFonts w:ascii="Times New Roman" w:hAnsi="Times New Roman" w:cs="Times New Roman"/>
          <w:color w:val="000000"/>
        </w:rPr>
        <w:t>)</w:t>
      </w:r>
      <w:r w:rsidR="002679CF" w:rsidRPr="001E5744">
        <w:rPr>
          <w:rFonts w:ascii="Times New Roman" w:hAnsi="Times New Roman" w:cs="Times New Roman"/>
          <w:color w:val="000000"/>
        </w:rPr>
        <w:t>.</w:t>
      </w:r>
      <w:r w:rsidR="000D159C" w:rsidRPr="001E5744">
        <w:rPr>
          <w:rFonts w:ascii="Times New Roman" w:hAnsi="Times New Roman" w:cs="Times New Roman"/>
          <w:color w:val="000000"/>
        </w:rPr>
        <w:t xml:space="preserve"> </w:t>
      </w:r>
      <w:r w:rsidRPr="001E5744">
        <w:rPr>
          <w:rFonts w:ascii="Times New Roman" w:hAnsi="Times New Roman" w:cs="Times New Roman"/>
          <w:color w:val="000000"/>
        </w:rPr>
        <w:t xml:space="preserve">This paper acknowledges that the experiences of CALD communities is in no way </w:t>
      </w:r>
      <w:r w:rsidR="00CD14C6" w:rsidRPr="001E5744">
        <w:rPr>
          <w:rFonts w:ascii="Times New Roman" w:hAnsi="Times New Roman" w:cs="Times New Roman"/>
          <w:color w:val="000000"/>
        </w:rPr>
        <w:t>homogenous,</w:t>
      </w:r>
      <w:r w:rsidRPr="001E5744">
        <w:rPr>
          <w:rFonts w:ascii="Times New Roman" w:hAnsi="Times New Roman" w:cs="Times New Roman"/>
          <w:color w:val="000000"/>
        </w:rPr>
        <w:t xml:space="preserve"> and no single model of care can meet the needs of the diversity of populations across Australia. However, a</w:t>
      </w:r>
      <w:r w:rsidR="000D159C" w:rsidRPr="001E5744">
        <w:rPr>
          <w:rFonts w:ascii="Times New Roman" w:hAnsi="Times New Roman" w:cs="Times New Roman"/>
          <w:color w:val="000000"/>
        </w:rPr>
        <w:t xml:space="preserve"> recognition of diversity in life course trajectories is helpful in identifying multiple facets of identities such as ethnicity, migration </w:t>
      </w:r>
      <w:r w:rsidR="00910BE7" w:rsidRPr="001E5744">
        <w:rPr>
          <w:rFonts w:ascii="Times New Roman" w:hAnsi="Times New Roman" w:cs="Times New Roman"/>
          <w:color w:val="000000"/>
        </w:rPr>
        <w:t>histories</w:t>
      </w:r>
      <w:r w:rsidR="000D159C" w:rsidRPr="001E5744">
        <w:rPr>
          <w:rFonts w:ascii="Times New Roman" w:hAnsi="Times New Roman" w:cs="Times New Roman"/>
          <w:color w:val="000000"/>
        </w:rPr>
        <w:t>, socio-economic factors and differences in education and literacy (Gilbert et al.</w:t>
      </w:r>
      <w:r w:rsidR="00D3595D" w:rsidRPr="001E5744">
        <w:rPr>
          <w:rFonts w:ascii="Times New Roman" w:hAnsi="Times New Roman" w:cs="Times New Roman"/>
          <w:color w:val="000000"/>
        </w:rPr>
        <w:t>,</w:t>
      </w:r>
      <w:r w:rsidR="000D159C" w:rsidRPr="001E5744">
        <w:rPr>
          <w:rFonts w:ascii="Times New Roman" w:hAnsi="Times New Roman" w:cs="Times New Roman"/>
          <w:color w:val="000000"/>
        </w:rPr>
        <w:t xml:space="preserve"> 202</w:t>
      </w:r>
      <w:r w:rsidR="001A6ABC" w:rsidRPr="001E5744">
        <w:rPr>
          <w:rFonts w:ascii="Times New Roman" w:hAnsi="Times New Roman" w:cs="Times New Roman"/>
          <w:color w:val="000000"/>
        </w:rPr>
        <w:t>2</w:t>
      </w:r>
      <w:r w:rsidR="000D159C" w:rsidRPr="001E5744">
        <w:rPr>
          <w:rFonts w:ascii="Times New Roman" w:hAnsi="Times New Roman" w:cs="Times New Roman"/>
          <w:color w:val="000000"/>
        </w:rPr>
        <w:t xml:space="preserve">, p. 7). </w:t>
      </w:r>
    </w:p>
    <w:p w14:paraId="0AD5CAA1" w14:textId="7D8720E4" w:rsidR="00A11A15" w:rsidRPr="001E5744" w:rsidRDefault="00204E4F"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 xml:space="preserve">Services: </w:t>
      </w:r>
      <w:r w:rsidR="00391297" w:rsidRPr="001E5744">
        <w:rPr>
          <w:rFonts w:ascii="Times New Roman" w:hAnsi="Times New Roman" w:cs="Times New Roman"/>
          <w:b/>
          <w:bCs/>
          <w:color w:val="C00000"/>
          <w:sz w:val="28"/>
          <w:szCs w:val="28"/>
        </w:rPr>
        <w:t>Accessing Services</w:t>
      </w:r>
    </w:p>
    <w:p w14:paraId="6A50EB65" w14:textId="61AD7986" w:rsidR="00CD14C6" w:rsidRPr="001E5744" w:rsidRDefault="00204E4F"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 xml:space="preserve">A study by Gilbert et al. (2022, p. 1) found that family carers of CALD people living with dementia can experience “higher stress and unmet need than the general Australian population”. They draw on the concept of structural burden to highlight how bureaucratic processes evident within Anglo-centric care systems play a significant role in contributing to </w:t>
      </w:r>
      <w:r w:rsidRPr="001E5744">
        <w:rPr>
          <w:rFonts w:ascii="Times New Roman" w:hAnsi="Times New Roman" w:cs="Times New Roman"/>
          <w:color w:val="000000"/>
        </w:rPr>
        <w:lastRenderedPageBreak/>
        <w:t>this distress. They</w:t>
      </w:r>
      <w:r w:rsidR="00910BE7" w:rsidRPr="001E5744">
        <w:rPr>
          <w:rFonts w:ascii="Times New Roman" w:hAnsi="Times New Roman" w:cs="Times New Roman"/>
          <w:color w:val="000000"/>
        </w:rPr>
        <w:t xml:space="preserve"> found that carers of CALD people with dementia are getting left behind by the current aged care system</w:t>
      </w:r>
      <w:r w:rsidR="009640A5" w:rsidRPr="001E5744">
        <w:rPr>
          <w:rFonts w:ascii="Times New Roman" w:hAnsi="Times New Roman" w:cs="Times New Roman"/>
          <w:color w:val="000000"/>
        </w:rPr>
        <w:t xml:space="preserve">. This included difficulty </w:t>
      </w:r>
      <w:r w:rsidR="00910BE7" w:rsidRPr="001E5744">
        <w:rPr>
          <w:rFonts w:ascii="Times New Roman" w:hAnsi="Times New Roman" w:cs="Times New Roman"/>
          <w:color w:val="000000"/>
        </w:rPr>
        <w:t xml:space="preserve">navigating a fragmented and bureaucratic care and service systems </w:t>
      </w:r>
      <w:r w:rsidR="0024652B" w:rsidRPr="001E5744">
        <w:rPr>
          <w:rFonts w:ascii="Times New Roman" w:hAnsi="Times New Roman" w:cs="Times New Roman"/>
          <w:color w:val="000000"/>
        </w:rPr>
        <w:t xml:space="preserve">and </w:t>
      </w:r>
      <w:r w:rsidR="009640A5" w:rsidRPr="001E5744">
        <w:rPr>
          <w:rFonts w:ascii="Times New Roman" w:hAnsi="Times New Roman" w:cs="Times New Roman"/>
          <w:color w:val="000000"/>
        </w:rPr>
        <w:t>unfamiliarity</w:t>
      </w:r>
      <w:r w:rsidR="00910BE7" w:rsidRPr="001E5744">
        <w:rPr>
          <w:rFonts w:ascii="Times New Roman" w:hAnsi="Times New Roman" w:cs="Times New Roman"/>
          <w:color w:val="000000"/>
        </w:rPr>
        <w:t xml:space="preserve"> </w:t>
      </w:r>
      <w:r w:rsidR="009640A5" w:rsidRPr="001E5744">
        <w:rPr>
          <w:rFonts w:ascii="Times New Roman" w:hAnsi="Times New Roman" w:cs="Times New Roman"/>
          <w:color w:val="000000"/>
        </w:rPr>
        <w:t>with</w:t>
      </w:r>
      <w:r w:rsidR="00910BE7" w:rsidRPr="001E5744">
        <w:rPr>
          <w:rFonts w:ascii="Times New Roman" w:hAnsi="Times New Roman" w:cs="Times New Roman"/>
          <w:color w:val="000000"/>
        </w:rPr>
        <w:t xml:space="preserve"> how the system worked. Managing language barriers created additional stress, particularly when many dementia support groups only had English-speaking staff</w:t>
      </w:r>
      <w:r w:rsidR="009640A5" w:rsidRPr="001E5744">
        <w:rPr>
          <w:rFonts w:ascii="Times New Roman" w:hAnsi="Times New Roman" w:cs="Times New Roman"/>
          <w:color w:val="000000"/>
        </w:rPr>
        <w:t>.</w:t>
      </w:r>
      <w:r w:rsidR="0042360A" w:rsidRPr="001E5744">
        <w:rPr>
          <w:rFonts w:ascii="Times New Roman" w:hAnsi="Times New Roman" w:cs="Times New Roman"/>
          <w:color w:val="000000"/>
        </w:rPr>
        <w:t xml:space="preserve"> </w:t>
      </w:r>
      <w:r w:rsidR="00EB2298" w:rsidRPr="001E5744">
        <w:rPr>
          <w:rFonts w:ascii="Times New Roman" w:hAnsi="Times New Roman" w:cs="Times New Roman"/>
          <w:color w:val="000000"/>
        </w:rPr>
        <w:t xml:space="preserve">Further, consumer-directed care </w:t>
      </w:r>
      <w:r w:rsidR="00A11A15" w:rsidRPr="001E5744">
        <w:rPr>
          <w:rFonts w:ascii="Times New Roman" w:hAnsi="Times New Roman" w:cs="Times New Roman"/>
          <w:color w:val="000000"/>
        </w:rPr>
        <w:t xml:space="preserve">doesn’t always </w:t>
      </w:r>
      <w:r w:rsidR="00A16613" w:rsidRPr="001E5744">
        <w:rPr>
          <w:rFonts w:ascii="Times New Roman" w:hAnsi="Times New Roman" w:cs="Times New Roman"/>
          <w:color w:val="000000"/>
        </w:rPr>
        <w:t>consider</w:t>
      </w:r>
      <w:r w:rsidR="00A11A15" w:rsidRPr="001E5744">
        <w:rPr>
          <w:rFonts w:ascii="Times New Roman" w:hAnsi="Times New Roman" w:cs="Times New Roman"/>
          <w:color w:val="000000"/>
        </w:rPr>
        <w:t xml:space="preserve"> how different </w:t>
      </w:r>
      <w:r w:rsidR="0042360A" w:rsidRPr="001E5744">
        <w:rPr>
          <w:rFonts w:ascii="Times New Roman" w:hAnsi="Times New Roman" w:cs="Times New Roman"/>
          <w:color w:val="000000"/>
        </w:rPr>
        <w:t>vulnerabilities</w:t>
      </w:r>
      <w:r w:rsidR="00A11A15" w:rsidRPr="001E5744">
        <w:rPr>
          <w:rFonts w:ascii="Times New Roman" w:hAnsi="Times New Roman" w:cs="Times New Roman"/>
          <w:color w:val="000000"/>
        </w:rPr>
        <w:t xml:space="preserve"> intersect, </w:t>
      </w:r>
      <w:r w:rsidR="00CD14C6" w:rsidRPr="001E5744">
        <w:rPr>
          <w:rFonts w:ascii="Times New Roman" w:hAnsi="Times New Roman" w:cs="Times New Roman"/>
          <w:color w:val="000000"/>
        </w:rPr>
        <w:t>e.g.,</w:t>
      </w:r>
      <w:r w:rsidR="00A11A15" w:rsidRPr="001E5744">
        <w:rPr>
          <w:rFonts w:ascii="Times New Roman" w:hAnsi="Times New Roman" w:cs="Times New Roman"/>
          <w:color w:val="000000"/>
        </w:rPr>
        <w:t xml:space="preserve"> difficulty comprehending the home care package system intersecting with limited culturally appropriate care</w:t>
      </w:r>
      <w:r w:rsidR="00BC42C4" w:rsidRPr="001E5744">
        <w:rPr>
          <w:rFonts w:ascii="Times New Roman" w:hAnsi="Times New Roman" w:cs="Times New Roman"/>
          <w:color w:val="000000"/>
        </w:rPr>
        <w:t xml:space="preserve"> (Gilbert et al., 2022, p. </w:t>
      </w:r>
      <w:r w:rsidR="00DC6FD8" w:rsidRPr="001E5744">
        <w:rPr>
          <w:rFonts w:ascii="Times New Roman" w:hAnsi="Times New Roman" w:cs="Times New Roman"/>
          <w:color w:val="000000"/>
        </w:rPr>
        <w:t>6</w:t>
      </w:r>
      <w:r w:rsidR="00BC42C4" w:rsidRPr="001E5744">
        <w:rPr>
          <w:rFonts w:ascii="Times New Roman" w:hAnsi="Times New Roman" w:cs="Times New Roman"/>
          <w:color w:val="000000"/>
        </w:rPr>
        <w:t>)</w:t>
      </w:r>
      <w:r w:rsidR="00A11A15" w:rsidRPr="001E5744">
        <w:rPr>
          <w:rFonts w:ascii="Times New Roman" w:hAnsi="Times New Roman" w:cs="Times New Roman"/>
          <w:color w:val="000000"/>
        </w:rPr>
        <w:t xml:space="preserve">. </w:t>
      </w:r>
    </w:p>
    <w:p w14:paraId="3EAAFB5C" w14:textId="13AA7F6C" w:rsidR="00A11A15" w:rsidRPr="001E5744" w:rsidRDefault="00A11A15"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Cultural Obligations</w:t>
      </w:r>
    </w:p>
    <w:p w14:paraId="29AC8BB5" w14:textId="46AB1E12" w:rsidR="00CD14C6" w:rsidRPr="001E5744" w:rsidRDefault="00A11A15"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Tipping &amp; Whiteside (201</w:t>
      </w:r>
      <w:r w:rsidR="00BC42C4" w:rsidRPr="001E5744">
        <w:rPr>
          <w:rFonts w:ascii="Times New Roman" w:hAnsi="Times New Roman" w:cs="Times New Roman"/>
          <w:color w:val="000000"/>
        </w:rPr>
        <w:t>5</w:t>
      </w:r>
      <w:r w:rsidRPr="001E5744">
        <w:rPr>
          <w:rFonts w:ascii="Times New Roman" w:hAnsi="Times New Roman" w:cs="Times New Roman"/>
          <w:color w:val="000000"/>
        </w:rPr>
        <w:t xml:space="preserve">), </w:t>
      </w:r>
      <w:proofErr w:type="spellStart"/>
      <w:r w:rsidRPr="001E5744">
        <w:rPr>
          <w:rFonts w:ascii="Times New Roman" w:hAnsi="Times New Roman" w:cs="Times New Roman"/>
          <w:color w:val="000000"/>
        </w:rPr>
        <w:t>Boughtwood</w:t>
      </w:r>
      <w:proofErr w:type="spellEnd"/>
      <w:r w:rsidRPr="001E5744">
        <w:rPr>
          <w:rFonts w:ascii="Times New Roman" w:hAnsi="Times New Roman" w:cs="Times New Roman"/>
          <w:color w:val="000000"/>
        </w:rPr>
        <w:t xml:space="preserve"> et al. (2011) and Shanley et al. (2012) note that many CALD families have greater filial obligations than families of Anglo-Celtic origins, particularly given the fact that many non-Western countries are considered collectivist cultures, rather than individualistic. </w:t>
      </w:r>
      <w:r w:rsidR="00AC3267" w:rsidRPr="001E5744">
        <w:rPr>
          <w:rFonts w:ascii="Times New Roman" w:hAnsi="Times New Roman" w:cs="Times New Roman"/>
          <w:color w:val="000000"/>
        </w:rPr>
        <w:t>Similarly,</w:t>
      </w:r>
      <w:r w:rsidRPr="001E5744">
        <w:rPr>
          <w:rFonts w:ascii="Times New Roman" w:hAnsi="Times New Roman" w:cs="Times New Roman"/>
          <w:color w:val="000000"/>
        </w:rPr>
        <w:t xml:space="preserve"> Caldwell et al. (2014) note that Chinese Australian caregivers prefer community-based services to aged care facilities and see these facilities as a last resort</w:t>
      </w:r>
      <w:r w:rsidR="009640A5" w:rsidRPr="001E5744">
        <w:rPr>
          <w:rFonts w:ascii="Times New Roman" w:hAnsi="Times New Roman" w:cs="Times New Roman"/>
          <w:color w:val="000000"/>
        </w:rPr>
        <w:t xml:space="preserve">. </w:t>
      </w:r>
      <w:r w:rsidR="00B03CC2" w:rsidRPr="001E5744">
        <w:rPr>
          <w:rFonts w:ascii="Times New Roman" w:hAnsi="Times New Roman" w:cs="Times New Roman"/>
          <w:color w:val="000000"/>
        </w:rPr>
        <w:t>Consequently,</w:t>
      </w:r>
      <w:r w:rsidRPr="001E5744">
        <w:rPr>
          <w:rFonts w:ascii="Times New Roman" w:hAnsi="Times New Roman" w:cs="Times New Roman"/>
          <w:color w:val="000000"/>
        </w:rPr>
        <w:t xml:space="preserve"> they prefer </w:t>
      </w:r>
      <w:r w:rsidR="00B03CC2" w:rsidRPr="001E5744">
        <w:rPr>
          <w:rFonts w:ascii="Times New Roman" w:hAnsi="Times New Roman" w:cs="Times New Roman"/>
          <w:color w:val="000000"/>
        </w:rPr>
        <w:t xml:space="preserve">to </w:t>
      </w:r>
      <w:r w:rsidRPr="001E5744">
        <w:rPr>
          <w:rFonts w:ascii="Times New Roman" w:hAnsi="Times New Roman" w:cs="Times New Roman"/>
          <w:color w:val="000000"/>
        </w:rPr>
        <w:t xml:space="preserve">or have </w:t>
      </w:r>
      <w:r w:rsidR="00B03CC2" w:rsidRPr="001E5744">
        <w:rPr>
          <w:rFonts w:ascii="Times New Roman" w:hAnsi="Times New Roman" w:cs="Times New Roman"/>
          <w:color w:val="000000"/>
        </w:rPr>
        <w:t xml:space="preserve">cultural </w:t>
      </w:r>
      <w:r w:rsidRPr="001E5744">
        <w:rPr>
          <w:rFonts w:ascii="Times New Roman" w:hAnsi="Times New Roman" w:cs="Times New Roman"/>
          <w:color w:val="000000"/>
        </w:rPr>
        <w:t>obligations to care for their family member with dementia at home and so value culturally specific community-based aged care agencies (Tipping &amp; Whiteside, 201</w:t>
      </w:r>
      <w:r w:rsidR="00BC42C4" w:rsidRPr="001E5744">
        <w:rPr>
          <w:rFonts w:ascii="Times New Roman" w:hAnsi="Times New Roman" w:cs="Times New Roman"/>
          <w:color w:val="000000"/>
        </w:rPr>
        <w:t>5</w:t>
      </w:r>
      <w:r w:rsidRPr="001E5744">
        <w:rPr>
          <w:rFonts w:ascii="Times New Roman" w:hAnsi="Times New Roman" w:cs="Times New Roman"/>
          <w:color w:val="000000"/>
        </w:rPr>
        <w:t xml:space="preserve">, p. 185). However, these types of organisations are scarce and there have been appeals made for mainstream services to become more culturally sensitive to the unique experiences and needs of CALD families. </w:t>
      </w:r>
    </w:p>
    <w:p w14:paraId="1E876B5A" w14:textId="4405D718" w:rsidR="004A6982" w:rsidRPr="001E5744" w:rsidRDefault="00DB3109"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Social Work Implications</w:t>
      </w:r>
    </w:p>
    <w:p w14:paraId="344A7856" w14:textId="3197ECAF" w:rsidR="00CD14C6" w:rsidRPr="001E5744" w:rsidRDefault="00E62B3D"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 xml:space="preserve">While </w:t>
      </w:r>
      <w:r w:rsidR="00AC3267" w:rsidRPr="001E5744">
        <w:rPr>
          <w:rFonts w:ascii="Times New Roman" w:hAnsi="Times New Roman" w:cs="Times New Roman"/>
          <w:color w:val="000000"/>
        </w:rPr>
        <w:t>numerous</w:t>
      </w:r>
      <w:r w:rsidRPr="001E5744">
        <w:rPr>
          <w:rFonts w:ascii="Times New Roman" w:hAnsi="Times New Roman" w:cs="Times New Roman"/>
          <w:color w:val="000000"/>
        </w:rPr>
        <w:t xml:space="preserve"> challenges exist for people living with dementia and their carers within Australia, there are a myriad</w:t>
      </w:r>
      <w:r w:rsidR="00DB3109" w:rsidRPr="001E5744">
        <w:rPr>
          <w:rFonts w:ascii="Times New Roman" w:hAnsi="Times New Roman" w:cs="Times New Roman"/>
          <w:color w:val="000000"/>
        </w:rPr>
        <w:t xml:space="preserve"> of ways </w:t>
      </w:r>
      <w:r w:rsidRPr="001E5744">
        <w:rPr>
          <w:rFonts w:ascii="Times New Roman" w:hAnsi="Times New Roman" w:cs="Times New Roman"/>
          <w:color w:val="000000"/>
        </w:rPr>
        <w:t xml:space="preserve">for social workers to exist in these spaces at macro, </w:t>
      </w:r>
      <w:proofErr w:type="spellStart"/>
      <w:r w:rsidRPr="001E5744">
        <w:rPr>
          <w:rFonts w:ascii="Times New Roman" w:hAnsi="Times New Roman" w:cs="Times New Roman"/>
          <w:color w:val="000000"/>
        </w:rPr>
        <w:t>meso</w:t>
      </w:r>
      <w:proofErr w:type="spellEnd"/>
      <w:r w:rsidRPr="001E5744">
        <w:rPr>
          <w:rFonts w:ascii="Times New Roman" w:hAnsi="Times New Roman" w:cs="Times New Roman"/>
          <w:color w:val="000000"/>
        </w:rPr>
        <w:t xml:space="preserve"> and micro levels. Critical and emancipatory social work practice can reframe dementia as a social experience in a way that enhances the quality of life for those living with dementia and to help them perceive it as a meaningful trajectory</w:t>
      </w:r>
      <w:r w:rsidR="00BC42C4" w:rsidRPr="001E5744">
        <w:rPr>
          <w:rFonts w:ascii="Times New Roman" w:hAnsi="Times New Roman" w:cs="Times New Roman"/>
          <w:color w:val="000000"/>
        </w:rPr>
        <w:t xml:space="preserve"> (Macdonald &amp; Mears, 2019)</w:t>
      </w:r>
      <w:r w:rsidRPr="001E5744">
        <w:rPr>
          <w:rFonts w:ascii="Times New Roman" w:hAnsi="Times New Roman" w:cs="Times New Roman"/>
          <w:color w:val="000000"/>
        </w:rPr>
        <w:t>. That’s not to say that living with dementia</w:t>
      </w:r>
      <w:r w:rsidR="00AC3267" w:rsidRPr="001E5744">
        <w:rPr>
          <w:rFonts w:ascii="Times New Roman" w:hAnsi="Times New Roman" w:cs="Times New Roman"/>
          <w:color w:val="000000"/>
        </w:rPr>
        <w:t xml:space="preserve"> is</w:t>
      </w:r>
      <w:r w:rsidRPr="001E5744">
        <w:rPr>
          <w:rFonts w:ascii="Times New Roman" w:hAnsi="Times New Roman" w:cs="Times New Roman"/>
          <w:color w:val="000000"/>
        </w:rPr>
        <w:t xml:space="preserve"> something that people desire, nor is this paper trying to minimise its challenges, but rather, it asks the question of how can we better integrate this experience within society as one that has meaning? How can social workers counter stigma and misconceptions and use their skills to facilitate connection and purpose? </w:t>
      </w:r>
    </w:p>
    <w:p w14:paraId="19FD64FC" w14:textId="77777777" w:rsidR="00A81632" w:rsidRDefault="00A81632" w:rsidP="001E5744">
      <w:pPr>
        <w:spacing w:before="180" w:after="180" w:line="360" w:lineRule="auto"/>
        <w:rPr>
          <w:rFonts w:ascii="Times New Roman" w:hAnsi="Times New Roman" w:cs="Times New Roman"/>
          <w:b/>
          <w:bCs/>
          <w:color w:val="C00000"/>
          <w:sz w:val="28"/>
          <w:szCs w:val="28"/>
        </w:rPr>
      </w:pPr>
    </w:p>
    <w:p w14:paraId="609FC244" w14:textId="74D13C26" w:rsidR="00E62B3D" w:rsidRPr="001E5744" w:rsidRDefault="00E62B3D"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lastRenderedPageBreak/>
        <w:t xml:space="preserve">Emancipatory Practice through Reframing Dementia </w:t>
      </w:r>
    </w:p>
    <w:p w14:paraId="3253B401" w14:textId="55447EDD" w:rsidR="006E273A" w:rsidRPr="001E5744" w:rsidRDefault="00E62B3D"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 xml:space="preserve">Phillips (2018) </w:t>
      </w:r>
      <w:r w:rsidR="00315E0C" w:rsidRPr="001E5744">
        <w:rPr>
          <w:rFonts w:ascii="Times New Roman" w:hAnsi="Times New Roman" w:cs="Times New Roman"/>
          <w:color w:val="000000"/>
        </w:rPr>
        <w:t>argues</w:t>
      </w:r>
      <w:r w:rsidRPr="001E5744">
        <w:rPr>
          <w:rFonts w:ascii="Times New Roman" w:hAnsi="Times New Roman" w:cs="Times New Roman"/>
          <w:color w:val="000000"/>
        </w:rPr>
        <w:t xml:space="preserve"> that emancipatory practice can be fostered when we counter ideas </w:t>
      </w:r>
      <w:r w:rsidR="00AC3267" w:rsidRPr="001E5744">
        <w:rPr>
          <w:rFonts w:ascii="Times New Roman" w:hAnsi="Times New Roman" w:cs="Times New Roman"/>
          <w:color w:val="000000"/>
        </w:rPr>
        <w:t xml:space="preserve">about </w:t>
      </w:r>
      <w:r w:rsidRPr="001E5744">
        <w:rPr>
          <w:rFonts w:ascii="Times New Roman" w:hAnsi="Times New Roman" w:cs="Times New Roman"/>
          <w:color w:val="000000"/>
        </w:rPr>
        <w:t xml:space="preserve">ageing as a burden and identify relationships as key tools of critical social work. </w:t>
      </w:r>
      <w:r w:rsidR="00BC42C4" w:rsidRPr="001E5744">
        <w:rPr>
          <w:rFonts w:ascii="Times New Roman" w:hAnsi="Times New Roman" w:cs="Times New Roman"/>
          <w:color w:val="000000"/>
        </w:rPr>
        <w:t xml:space="preserve">Macdonald &amp; Mears </w:t>
      </w:r>
      <w:r w:rsidRPr="001E5744">
        <w:rPr>
          <w:rFonts w:ascii="Times New Roman" w:hAnsi="Times New Roman" w:cs="Times New Roman"/>
          <w:color w:val="000000"/>
        </w:rPr>
        <w:t xml:space="preserve">(2019) call for a reframing of dementia as a social experience to encourage approaches that enhance people’s capacity to live with dementia. A social model unsettles the dominance of biomedical models by subverting ideas around fear and isolation. </w:t>
      </w:r>
      <w:r w:rsidR="00142BB1" w:rsidRPr="001E5744">
        <w:rPr>
          <w:rFonts w:ascii="Times New Roman" w:hAnsi="Times New Roman" w:cs="Times New Roman"/>
          <w:color w:val="000000"/>
        </w:rPr>
        <w:t>It</w:t>
      </w:r>
      <w:r w:rsidRPr="001E5744">
        <w:rPr>
          <w:rFonts w:ascii="Times New Roman" w:hAnsi="Times New Roman" w:cs="Times New Roman"/>
          <w:color w:val="000000"/>
        </w:rPr>
        <w:t xml:space="preserve"> provides a counter narrative</w:t>
      </w:r>
      <w:r w:rsidR="00315E0C" w:rsidRPr="001E5744">
        <w:rPr>
          <w:rFonts w:ascii="Times New Roman" w:hAnsi="Times New Roman" w:cs="Times New Roman"/>
          <w:color w:val="000000"/>
        </w:rPr>
        <w:t xml:space="preserve"> and practices</w:t>
      </w:r>
      <w:r w:rsidRPr="001E5744">
        <w:rPr>
          <w:rFonts w:ascii="Times New Roman" w:hAnsi="Times New Roman" w:cs="Times New Roman"/>
          <w:color w:val="000000"/>
        </w:rPr>
        <w:t xml:space="preserve"> that </w:t>
      </w:r>
      <w:r w:rsidR="00AC5392" w:rsidRPr="001E5744">
        <w:rPr>
          <w:rFonts w:ascii="Times New Roman" w:hAnsi="Times New Roman" w:cs="Times New Roman"/>
          <w:color w:val="000000"/>
        </w:rPr>
        <w:t xml:space="preserve">go beyond deficit-based medical framing </w:t>
      </w:r>
      <w:r w:rsidRPr="001E5744">
        <w:rPr>
          <w:rFonts w:ascii="Times New Roman" w:hAnsi="Times New Roman" w:cs="Times New Roman"/>
          <w:color w:val="000000"/>
        </w:rPr>
        <w:t>to revalue care and vulnerability as “intrinsic to all life” (</w:t>
      </w:r>
      <w:r w:rsidR="00BC42C4" w:rsidRPr="001E5744">
        <w:rPr>
          <w:rFonts w:ascii="Times New Roman" w:hAnsi="Times New Roman" w:cs="Times New Roman"/>
          <w:color w:val="000000"/>
        </w:rPr>
        <w:t>Macdonald &amp; Mears, 2019</w:t>
      </w:r>
      <w:r w:rsidR="00AC5392" w:rsidRPr="001E5744">
        <w:rPr>
          <w:rFonts w:ascii="Times New Roman" w:hAnsi="Times New Roman" w:cs="Times New Roman"/>
          <w:color w:val="000000"/>
        </w:rPr>
        <w:t>).</w:t>
      </w:r>
      <w:r w:rsidRPr="001E5744">
        <w:rPr>
          <w:rFonts w:ascii="Times New Roman" w:hAnsi="Times New Roman" w:cs="Times New Roman"/>
          <w:color w:val="000000"/>
        </w:rPr>
        <w:t xml:space="preserve"> It positions those who live with dementia and their </w:t>
      </w:r>
      <w:proofErr w:type="spellStart"/>
      <w:r w:rsidRPr="001E5744">
        <w:rPr>
          <w:rFonts w:ascii="Times New Roman" w:hAnsi="Times New Roman" w:cs="Times New Roman"/>
          <w:color w:val="000000"/>
        </w:rPr>
        <w:t>carers</w:t>
      </w:r>
      <w:proofErr w:type="spellEnd"/>
      <w:r w:rsidRPr="001E5744">
        <w:rPr>
          <w:rFonts w:ascii="Times New Roman" w:hAnsi="Times New Roman" w:cs="Times New Roman"/>
          <w:color w:val="000000"/>
        </w:rPr>
        <w:t xml:space="preserve"> as the real experts</w:t>
      </w:r>
      <w:r w:rsidR="00AC5392" w:rsidRPr="001E5744">
        <w:rPr>
          <w:rFonts w:ascii="Times New Roman" w:hAnsi="Times New Roman" w:cs="Times New Roman"/>
          <w:color w:val="000000"/>
        </w:rPr>
        <w:t xml:space="preserve"> (</w:t>
      </w:r>
      <w:r w:rsidR="00A64F6A" w:rsidRPr="001E5744">
        <w:rPr>
          <w:rFonts w:ascii="Times New Roman" w:hAnsi="Times New Roman" w:cs="Times New Roman"/>
          <w:color w:val="000000"/>
        </w:rPr>
        <w:t>Gillies, 2011</w:t>
      </w:r>
      <w:r w:rsidRPr="001E5744">
        <w:rPr>
          <w:rFonts w:ascii="Times New Roman" w:hAnsi="Times New Roman" w:cs="Times New Roman"/>
          <w:color w:val="000000"/>
        </w:rPr>
        <w:t>)</w:t>
      </w:r>
      <w:r w:rsidR="00472E35" w:rsidRPr="001E5744">
        <w:rPr>
          <w:rFonts w:ascii="Times New Roman" w:hAnsi="Times New Roman" w:cs="Times New Roman"/>
          <w:color w:val="000000"/>
        </w:rPr>
        <w:t>.</w:t>
      </w:r>
      <w:r w:rsidRPr="001E5744">
        <w:rPr>
          <w:rFonts w:ascii="Times New Roman" w:hAnsi="Times New Roman" w:cs="Times New Roman"/>
          <w:color w:val="000000"/>
        </w:rPr>
        <w:t xml:space="preserve"> </w:t>
      </w:r>
      <w:r w:rsidR="00223DF4" w:rsidRPr="001E5744">
        <w:rPr>
          <w:rFonts w:ascii="Times New Roman" w:hAnsi="Times New Roman" w:cs="Times New Roman"/>
          <w:color w:val="000000"/>
        </w:rPr>
        <w:t xml:space="preserve">A </w:t>
      </w:r>
      <w:r w:rsidR="00AC5392" w:rsidRPr="001E5744">
        <w:rPr>
          <w:rFonts w:ascii="Times New Roman" w:hAnsi="Times New Roman" w:cs="Times New Roman"/>
          <w:color w:val="000000"/>
        </w:rPr>
        <w:t>critical</w:t>
      </w:r>
      <w:r w:rsidRPr="001E5744">
        <w:rPr>
          <w:rFonts w:ascii="Times New Roman" w:hAnsi="Times New Roman" w:cs="Times New Roman"/>
          <w:color w:val="000000"/>
        </w:rPr>
        <w:t xml:space="preserve"> social work approach counters power imbalances by identifying how marginalisation, social disadvantage and oppression exist within society (</w:t>
      </w:r>
      <w:r w:rsidR="00223DF4" w:rsidRPr="001E5744">
        <w:rPr>
          <w:rFonts w:ascii="Times New Roman" w:hAnsi="Times New Roman" w:cs="Times New Roman"/>
          <w:color w:val="000000"/>
        </w:rPr>
        <w:t>Duffy, 2017; Hutchison, 2019).</w:t>
      </w:r>
      <w:r w:rsidR="006E273A" w:rsidRPr="001E5744">
        <w:rPr>
          <w:rFonts w:ascii="Times New Roman" w:hAnsi="Times New Roman" w:cs="Times New Roman"/>
          <w:color w:val="000000"/>
        </w:rPr>
        <w:t xml:space="preserve"> Critical social work is informed by intersectionality; a theoretical perspective that identifies how “multiple systems of inequality work with and through one another, at multiple levels of society” (Bastos et al., 2018, p. 211). The intersection of different statuses and identities, such as gender, age, sexual orientation, cultural background, socioeconomic status, disability and religion, can combine or overlap to create different forms of discrimination and privilege, of experiences that are empowering or oppressing, contextualised within broader systems of power (Koehn et al., 2013, p. 446). Thus, by viewing discrimination through an intersectional lens, we can better understand how interlocking systems of power operate to oppress certain groups, specifically those most marginalised in society. </w:t>
      </w:r>
      <w:r w:rsidRPr="001E5744">
        <w:rPr>
          <w:rFonts w:ascii="Times New Roman" w:hAnsi="Times New Roman" w:cs="Times New Roman"/>
          <w:color w:val="000000"/>
        </w:rPr>
        <w:t>This is particularly importan</w:t>
      </w:r>
      <w:r w:rsidR="0024652B" w:rsidRPr="001E5744">
        <w:rPr>
          <w:rFonts w:ascii="Times New Roman" w:hAnsi="Times New Roman" w:cs="Times New Roman"/>
          <w:color w:val="000000"/>
        </w:rPr>
        <w:t>t</w:t>
      </w:r>
      <w:r w:rsidRPr="001E5744">
        <w:rPr>
          <w:rFonts w:ascii="Times New Roman" w:hAnsi="Times New Roman" w:cs="Times New Roman"/>
          <w:color w:val="000000"/>
        </w:rPr>
        <w:t xml:space="preserve"> in examining how CALD populations experience the compounding of ageism and racism. </w:t>
      </w:r>
    </w:p>
    <w:p w14:paraId="6B767C22" w14:textId="7CBFD8B5" w:rsidR="006A1CE0" w:rsidRPr="001E5744" w:rsidRDefault="0024652B"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Armed with this knowledge, social workers</w:t>
      </w:r>
      <w:r w:rsidR="00AC5392" w:rsidRPr="001E5744">
        <w:rPr>
          <w:rFonts w:ascii="Times New Roman" w:hAnsi="Times New Roman" w:cs="Times New Roman"/>
          <w:color w:val="000000"/>
        </w:rPr>
        <w:t xml:space="preserve"> can provide more holistic perspectives and interventions that</w:t>
      </w:r>
      <w:r w:rsidR="00E62B3D" w:rsidRPr="001E5744">
        <w:rPr>
          <w:rFonts w:ascii="Times New Roman" w:hAnsi="Times New Roman" w:cs="Times New Roman"/>
          <w:color w:val="000000"/>
        </w:rPr>
        <w:t xml:space="preserve"> ensure the experiences of those f</w:t>
      </w:r>
      <w:r w:rsidR="00E62B3D" w:rsidRPr="001E5744">
        <w:rPr>
          <w:rFonts w:ascii="Times New Roman" w:hAnsi="Times New Roman" w:cs="Times New Roman"/>
          <w:lang w:val="en-GB"/>
        </w:rPr>
        <w:t xml:space="preserve">rom </w:t>
      </w:r>
      <w:r w:rsidR="006E273A" w:rsidRPr="001E5744">
        <w:rPr>
          <w:rFonts w:ascii="Times New Roman" w:hAnsi="Times New Roman" w:cs="Times New Roman"/>
          <w:lang w:val="en-GB"/>
        </w:rPr>
        <w:t>CALD backgrounds for example</w:t>
      </w:r>
      <w:r w:rsidR="00E62B3D" w:rsidRPr="001E5744">
        <w:rPr>
          <w:rFonts w:ascii="Times New Roman" w:hAnsi="Times New Roman" w:cs="Times New Roman"/>
          <w:lang w:val="en-GB"/>
        </w:rPr>
        <w:t xml:space="preserve"> are not homogenised or rendered invisible (</w:t>
      </w:r>
      <w:proofErr w:type="spellStart"/>
      <w:r w:rsidR="00E62B3D" w:rsidRPr="001E5744">
        <w:rPr>
          <w:rFonts w:ascii="Times New Roman" w:hAnsi="Times New Roman" w:cs="Times New Roman"/>
          <w:lang w:val="en-GB"/>
        </w:rPr>
        <w:t>Boughtwood</w:t>
      </w:r>
      <w:proofErr w:type="spellEnd"/>
      <w:r w:rsidR="00E62B3D" w:rsidRPr="001E5744">
        <w:rPr>
          <w:rFonts w:ascii="Times New Roman" w:hAnsi="Times New Roman" w:cs="Times New Roman"/>
          <w:lang w:val="en-GB"/>
        </w:rPr>
        <w:t xml:space="preserve"> et al., 2011).</w:t>
      </w:r>
      <w:r w:rsidR="007A7F47" w:rsidRPr="001E5744">
        <w:rPr>
          <w:rFonts w:ascii="Times New Roman" w:hAnsi="Times New Roman" w:cs="Times New Roman"/>
          <w:lang w:val="en-GB"/>
        </w:rPr>
        <w:t xml:space="preserve"> </w:t>
      </w:r>
    </w:p>
    <w:p w14:paraId="0BB004F8" w14:textId="3964CF6E" w:rsidR="00352033" w:rsidRPr="001E5744" w:rsidRDefault="00352033"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 xml:space="preserve">Emancipatory Practice </w:t>
      </w:r>
      <w:r w:rsidR="00FF652E" w:rsidRPr="001E5744">
        <w:rPr>
          <w:rFonts w:ascii="Times New Roman" w:hAnsi="Times New Roman" w:cs="Times New Roman"/>
          <w:b/>
          <w:bCs/>
          <w:color w:val="C00000"/>
          <w:sz w:val="28"/>
          <w:szCs w:val="28"/>
        </w:rPr>
        <w:t xml:space="preserve">using </w:t>
      </w:r>
      <w:r w:rsidRPr="001E5744">
        <w:rPr>
          <w:rFonts w:ascii="Times New Roman" w:hAnsi="Times New Roman" w:cs="Times New Roman"/>
          <w:b/>
          <w:bCs/>
          <w:color w:val="C00000"/>
          <w:sz w:val="28"/>
          <w:szCs w:val="28"/>
        </w:rPr>
        <w:t xml:space="preserve">a Life Course </w:t>
      </w:r>
      <w:r w:rsidR="00FF652E" w:rsidRPr="001E5744">
        <w:rPr>
          <w:rFonts w:ascii="Times New Roman" w:hAnsi="Times New Roman" w:cs="Times New Roman"/>
          <w:b/>
          <w:bCs/>
          <w:color w:val="C00000"/>
          <w:sz w:val="28"/>
          <w:szCs w:val="28"/>
        </w:rPr>
        <w:t>Perspective</w:t>
      </w:r>
    </w:p>
    <w:p w14:paraId="78C76686" w14:textId="634370CD" w:rsidR="00615435" w:rsidRPr="001E5744" w:rsidRDefault="00352033"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 xml:space="preserve">A diagnosis of dementia can change the way people interact and engage with each other. Focusing on dementia as lived experience and as a transition in one’s life course trajectory can be useful in understanding in how to find new meaning and </w:t>
      </w:r>
      <w:r w:rsidR="00615435" w:rsidRPr="001E5744">
        <w:rPr>
          <w:rFonts w:ascii="Times New Roman" w:hAnsi="Times New Roman" w:cs="Times New Roman"/>
          <w:color w:val="000000"/>
        </w:rPr>
        <w:t xml:space="preserve">take advantage of </w:t>
      </w:r>
      <w:r w:rsidRPr="001E5744">
        <w:rPr>
          <w:rFonts w:ascii="Times New Roman" w:hAnsi="Times New Roman" w:cs="Times New Roman"/>
          <w:color w:val="000000"/>
        </w:rPr>
        <w:t xml:space="preserve">new opportunities that a diagnosis may bring. </w:t>
      </w:r>
      <w:proofErr w:type="spellStart"/>
      <w:r w:rsidRPr="001E5744">
        <w:rPr>
          <w:rFonts w:ascii="Times New Roman" w:hAnsi="Times New Roman" w:cs="Times New Roman"/>
          <w:color w:val="000000"/>
        </w:rPr>
        <w:t>Carpentier</w:t>
      </w:r>
      <w:proofErr w:type="spellEnd"/>
      <w:r w:rsidRPr="001E5744">
        <w:rPr>
          <w:rFonts w:ascii="Times New Roman" w:hAnsi="Times New Roman" w:cs="Times New Roman"/>
          <w:color w:val="000000"/>
        </w:rPr>
        <w:t xml:space="preserve"> et al. (2010) use the life course perspective as a lens through which t</w:t>
      </w:r>
      <w:r w:rsidR="00615435" w:rsidRPr="001E5744">
        <w:rPr>
          <w:rFonts w:ascii="Times New Roman" w:hAnsi="Times New Roman" w:cs="Times New Roman"/>
          <w:color w:val="000000"/>
        </w:rPr>
        <w:t>o</w:t>
      </w:r>
      <w:r w:rsidRPr="001E5744">
        <w:rPr>
          <w:rFonts w:ascii="Times New Roman" w:hAnsi="Times New Roman" w:cs="Times New Roman"/>
          <w:color w:val="000000"/>
        </w:rPr>
        <w:t xml:space="preserve"> examine the care and disease trajectory of dementia. </w:t>
      </w:r>
      <w:proofErr w:type="gramStart"/>
      <w:r w:rsidRPr="001E5744">
        <w:rPr>
          <w:rFonts w:ascii="Times New Roman" w:hAnsi="Times New Roman" w:cs="Times New Roman"/>
          <w:color w:val="000000"/>
        </w:rPr>
        <w:t>A</w:t>
      </w:r>
      <w:proofErr w:type="gramEnd"/>
      <w:r w:rsidRPr="001E5744">
        <w:rPr>
          <w:rFonts w:ascii="Times New Roman" w:hAnsi="Times New Roman" w:cs="Times New Roman"/>
          <w:color w:val="000000"/>
        </w:rPr>
        <w:t xml:space="preserve"> LCP framework emphasises </w:t>
      </w:r>
      <w:r w:rsidR="00AC5392" w:rsidRPr="001E5744">
        <w:rPr>
          <w:rFonts w:ascii="Times New Roman" w:hAnsi="Times New Roman" w:cs="Times New Roman"/>
          <w:color w:val="000000"/>
        </w:rPr>
        <w:t>how family</w:t>
      </w:r>
      <w:r w:rsidRPr="001E5744">
        <w:rPr>
          <w:rFonts w:ascii="Times New Roman" w:hAnsi="Times New Roman" w:cs="Times New Roman"/>
          <w:color w:val="000000"/>
        </w:rPr>
        <w:t xml:space="preserve"> history, linked lives, human agency and </w:t>
      </w:r>
      <w:r w:rsidRPr="001E5744">
        <w:rPr>
          <w:rFonts w:ascii="Times New Roman" w:hAnsi="Times New Roman" w:cs="Times New Roman"/>
          <w:color w:val="000000"/>
        </w:rPr>
        <w:lastRenderedPageBreak/>
        <w:t xml:space="preserve">organisational effects impact on a person living with their dementia and their </w:t>
      </w:r>
      <w:proofErr w:type="spellStart"/>
      <w:r w:rsidRPr="001E5744">
        <w:rPr>
          <w:rFonts w:ascii="Times New Roman" w:hAnsi="Times New Roman" w:cs="Times New Roman"/>
          <w:color w:val="000000"/>
        </w:rPr>
        <w:t>carers</w:t>
      </w:r>
      <w:proofErr w:type="spellEnd"/>
      <w:r w:rsidRPr="001E5744">
        <w:rPr>
          <w:rFonts w:ascii="Times New Roman" w:hAnsi="Times New Roman" w:cs="Times New Roman"/>
          <w:color w:val="000000"/>
        </w:rPr>
        <w:t>. In terms of accessing services or transitions to aged care facilities, viewing dementia as a trajectory in one’s life can alert social workers to specific elements that impact families and carers</w:t>
      </w:r>
      <w:r w:rsidR="00AC5392" w:rsidRPr="001E5744">
        <w:rPr>
          <w:rFonts w:ascii="Times New Roman" w:hAnsi="Times New Roman" w:cs="Times New Roman"/>
          <w:color w:val="000000"/>
        </w:rPr>
        <w:t>,</w:t>
      </w:r>
      <w:r w:rsidRPr="001E5744">
        <w:rPr>
          <w:rFonts w:ascii="Times New Roman" w:hAnsi="Times New Roman" w:cs="Times New Roman"/>
          <w:color w:val="000000"/>
        </w:rPr>
        <w:t xml:space="preserve"> such as </w:t>
      </w:r>
      <w:r w:rsidR="00AC5392" w:rsidRPr="001E5744">
        <w:rPr>
          <w:rFonts w:ascii="Times New Roman" w:hAnsi="Times New Roman" w:cs="Times New Roman"/>
          <w:color w:val="000000"/>
        </w:rPr>
        <w:t>previous interactions</w:t>
      </w:r>
      <w:r w:rsidRPr="001E5744">
        <w:rPr>
          <w:rFonts w:ascii="Times New Roman" w:hAnsi="Times New Roman" w:cs="Times New Roman"/>
          <w:color w:val="000000"/>
        </w:rPr>
        <w:t xml:space="preserve"> with health and care</w:t>
      </w:r>
      <w:r w:rsidR="00AC5392" w:rsidRPr="001E5744">
        <w:rPr>
          <w:rFonts w:ascii="Times New Roman" w:hAnsi="Times New Roman" w:cs="Times New Roman"/>
          <w:color w:val="000000"/>
        </w:rPr>
        <w:t xml:space="preserve"> services</w:t>
      </w:r>
      <w:r w:rsidRPr="001E5744">
        <w:rPr>
          <w:rFonts w:ascii="Times New Roman" w:hAnsi="Times New Roman" w:cs="Times New Roman"/>
          <w:color w:val="000000"/>
        </w:rPr>
        <w:t>, family dynamics, and the impacts of a diagnosis (</w:t>
      </w:r>
      <w:proofErr w:type="spellStart"/>
      <w:r w:rsidRPr="001E5744">
        <w:rPr>
          <w:rFonts w:ascii="Times New Roman" w:hAnsi="Times New Roman" w:cs="Times New Roman"/>
          <w:color w:val="000000"/>
        </w:rPr>
        <w:t>Carpentier</w:t>
      </w:r>
      <w:proofErr w:type="spellEnd"/>
      <w:r w:rsidRPr="001E5744">
        <w:rPr>
          <w:rFonts w:ascii="Times New Roman" w:hAnsi="Times New Roman" w:cs="Times New Roman"/>
          <w:color w:val="000000"/>
        </w:rPr>
        <w:t xml:space="preserve"> et al., 2010). Further, taking </w:t>
      </w:r>
      <w:proofErr w:type="gramStart"/>
      <w:r w:rsidRPr="001E5744">
        <w:rPr>
          <w:rFonts w:ascii="Times New Roman" w:hAnsi="Times New Roman" w:cs="Times New Roman"/>
          <w:color w:val="000000"/>
        </w:rPr>
        <w:t>a</w:t>
      </w:r>
      <w:proofErr w:type="gramEnd"/>
      <w:r w:rsidRPr="001E5744">
        <w:rPr>
          <w:rFonts w:ascii="Times New Roman" w:hAnsi="Times New Roman" w:cs="Times New Roman"/>
          <w:color w:val="000000"/>
        </w:rPr>
        <w:t xml:space="preserve"> LCP can be conducive to culturally safe practice that encourages cultural humility as it understands a person within their own context, including an awareness of their cultural background, the different life events they may have experienced compared to the wider population, as well understanding different reactions to certain transitions</w:t>
      </w:r>
      <w:r w:rsidR="00BC42C4" w:rsidRPr="001E5744">
        <w:rPr>
          <w:rFonts w:ascii="Times New Roman" w:hAnsi="Times New Roman" w:cs="Times New Roman"/>
          <w:color w:val="000000"/>
        </w:rPr>
        <w:t xml:space="preserve"> (Hutchison, 2019)</w:t>
      </w:r>
      <w:r w:rsidRPr="001E5744">
        <w:rPr>
          <w:rFonts w:ascii="Times New Roman" w:hAnsi="Times New Roman" w:cs="Times New Roman"/>
          <w:color w:val="000000"/>
        </w:rPr>
        <w:t>. We can then recognise key turning points in their journey and how potential disadvantages faced across their life course can impact them in later life and influence how they access help and support (</w:t>
      </w:r>
      <w:r w:rsidR="00FF652E" w:rsidRPr="001E5744">
        <w:rPr>
          <w:rFonts w:ascii="Times New Roman" w:hAnsi="Times New Roman" w:cs="Times New Roman"/>
          <w:color w:val="000000"/>
        </w:rPr>
        <w:t xml:space="preserve">Gillies, 2011; </w:t>
      </w:r>
      <w:r w:rsidRPr="001E5744">
        <w:rPr>
          <w:rFonts w:ascii="Times New Roman" w:hAnsi="Times New Roman" w:cs="Times New Roman"/>
          <w:color w:val="000000"/>
        </w:rPr>
        <w:t xml:space="preserve">Hutchison, 2019). This holistic knowledge provides opportunities for social work to tailor interventions in specific ways with a trauma-informed lens. </w:t>
      </w:r>
    </w:p>
    <w:p w14:paraId="228AC3C6" w14:textId="2C44F997" w:rsidR="007D1348" w:rsidRPr="001E5744" w:rsidRDefault="00D56570"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 xml:space="preserve">Community </w:t>
      </w:r>
      <w:r w:rsidR="00E20431" w:rsidRPr="001E5744">
        <w:rPr>
          <w:rFonts w:ascii="Times New Roman" w:hAnsi="Times New Roman" w:cs="Times New Roman"/>
          <w:b/>
          <w:bCs/>
          <w:color w:val="C00000"/>
          <w:sz w:val="28"/>
          <w:szCs w:val="28"/>
        </w:rPr>
        <w:t>Care</w:t>
      </w:r>
    </w:p>
    <w:p w14:paraId="02C09CD3" w14:textId="71B8D042" w:rsidR="00A81632" w:rsidRDefault="00AC5392" w:rsidP="00A81632">
      <w:pPr>
        <w:spacing w:before="240" w:after="240" w:line="360" w:lineRule="auto"/>
        <w:rPr>
          <w:rFonts w:ascii="Times New Roman" w:hAnsi="Times New Roman" w:cs="Times New Roman"/>
          <w:b/>
          <w:bCs/>
          <w:color w:val="C00000"/>
          <w:sz w:val="28"/>
          <w:szCs w:val="28"/>
        </w:rPr>
      </w:pPr>
      <w:r w:rsidRPr="001E5744">
        <w:rPr>
          <w:rFonts w:ascii="Times New Roman" w:hAnsi="Times New Roman" w:cs="Times New Roman"/>
          <w:color w:val="000000"/>
        </w:rPr>
        <w:t xml:space="preserve">At a community level, </w:t>
      </w:r>
      <w:r w:rsidR="00871365" w:rsidRPr="001E5744">
        <w:rPr>
          <w:rFonts w:ascii="Times New Roman" w:hAnsi="Times New Roman" w:cs="Times New Roman"/>
          <w:color w:val="000000"/>
        </w:rPr>
        <w:t>there have been calls for more</w:t>
      </w:r>
      <w:r w:rsidRPr="001E5744">
        <w:rPr>
          <w:rFonts w:ascii="Times New Roman" w:hAnsi="Times New Roman" w:cs="Times New Roman"/>
          <w:color w:val="000000"/>
        </w:rPr>
        <w:t xml:space="preserve"> community-based aged care </w:t>
      </w:r>
      <w:r w:rsidR="00615435" w:rsidRPr="001E5744">
        <w:rPr>
          <w:rFonts w:ascii="Times New Roman" w:hAnsi="Times New Roman" w:cs="Times New Roman"/>
          <w:color w:val="000000"/>
        </w:rPr>
        <w:t xml:space="preserve">services </w:t>
      </w:r>
      <w:r w:rsidRPr="001E5744">
        <w:rPr>
          <w:rFonts w:ascii="Times New Roman" w:hAnsi="Times New Roman" w:cs="Times New Roman"/>
          <w:color w:val="000000"/>
        </w:rPr>
        <w:t xml:space="preserve">given that </w:t>
      </w:r>
      <w:proofErr w:type="gramStart"/>
      <w:r w:rsidRPr="001E5744">
        <w:rPr>
          <w:rFonts w:ascii="Times New Roman" w:hAnsi="Times New Roman" w:cs="Times New Roman"/>
          <w:color w:val="000000"/>
        </w:rPr>
        <w:t>the majority of</w:t>
      </w:r>
      <w:proofErr w:type="gramEnd"/>
      <w:r w:rsidRPr="001E5744">
        <w:rPr>
          <w:rFonts w:ascii="Times New Roman" w:hAnsi="Times New Roman" w:cs="Times New Roman"/>
          <w:color w:val="000000"/>
        </w:rPr>
        <w:t xml:space="preserve"> families would prefer their family member at home rather than in an aged care facility</w:t>
      </w:r>
      <w:r w:rsidR="00615435" w:rsidRPr="001E5744">
        <w:rPr>
          <w:rFonts w:ascii="Times New Roman" w:hAnsi="Times New Roman" w:cs="Times New Roman"/>
          <w:color w:val="000000"/>
        </w:rPr>
        <w:t>,</w:t>
      </w:r>
      <w:r w:rsidR="00871365" w:rsidRPr="001E5744">
        <w:rPr>
          <w:rFonts w:ascii="Times New Roman" w:hAnsi="Times New Roman" w:cs="Times New Roman"/>
          <w:color w:val="000000"/>
        </w:rPr>
        <w:t xml:space="preserve"> with this view even more evident within CALD communities (Tipping &amp; Whiteside, 201</w:t>
      </w:r>
      <w:r w:rsidR="00BC42C4" w:rsidRPr="001E5744">
        <w:rPr>
          <w:rFonts w:ascii="Times New Roman" w:hAnsi="Times New Roman" w:cs="Times New Roman"/>
          <w:color w:val="000000"/>
        </w:rPr>
        <w:t>5</w:t>
      </w:r>
      <w:r w:rsidR="00871365" w:rsidRPr="001E5744">
        <w:rPr>
          <w:rFonts w:ascii="Times New Roman" w:hAnsi="Times New Roman" w:cs="Times New Roman"/>
          <w:color w:val="000000"/>
        </w:rPr>
        <w:t>, p. 194</w:t>
      </w:r>
      <w:r w:rsidR="00226730" w:rsidRPr="001E5744">
        <w:rPr>
          <w:rFonts w:ascii="Times New Roman" w:hAnsi="Times New Roman" w:cs="Times New Roman"/>
          <w:color w:val="000000"/>
        </w:rPr>
        <w:t xml:space="preserve">; </w:t>
      </w:r>
      <w:r w:rsidR="004621DF" w:rsidRPr="001E5744">
        <w:rPr>
          <w:rFonts w:ascii="Times New Roman" w:hAnsi="Times New Roman" w:cs="Times New Roman"/>
          <w:bCs/>
          <w:lang w:val="en-GB"/>
        </w:rPr>
        <w:t>Royal Commission into Aged Care Quality and Safety</w:t>
      </w:r>
      <w:r w:rsidR="00226730" w:rsidRPr="001E5744">
        <w:rPr>
          <w:rFonts w:ascii="Times New Roman" w:hAnsi="Times New Roman" w:cs="Times New Roman"/>
          <w:color w:val="000000"/>
        </w:rPr>
        <w:t>, 2021</w:t>
      </w:r>
      <w:r w:rsidR="00871365" w:rsidRPr="001E5744">
        <w:rPr>
          <w:rFonts w:ascii="Times New Roman" w:hAnsi="Times New Roman" w:cs="Times New Roman"/>
          <w:color w:val="000000"/>
        </w:rPr>
        <w:t xml:space="preserve">). Community and local support can be better placed to promote human rights centred practice compared to institutions such as hospitals and residential aged care facilities. </w:t>
      </w:r>
      <w:r w:rsidR="00226730" w:rsidRPr="001E5744">
        <w:rPr>
          <w:rFonts w:ascii="Times New Roman" w:hAnsi="Times New Roman" w:cs="Times New Roman"/>
          <w:color w:val="000000"/>
        </w:rPr>
        <w:t xml:space="preserve">Research with carers of those with dementia have found that they are not opposed to external community services but rather </w:t>
      </w:r>
      <w:r w:rsidR="00AC3267" w:rsidRPr="001E5744">
        <w:rPr>
          <w:rFonts w:ascii="Times New Roman" w:hAnsi="Times New Roman" w:cs="Times New Roman"/>
          <w:color w:val="000000"/>
        </w:rPr>
        <w:t>have difficulty accessing and navigating supports</w:t>
      </w:r>
      <w:r w:rsidR="00226730" w:rsidRPr="001E5744">
        <w:rPr>
          <w:rFonts w:ascii="Times New Roman" w:hAnsi="Times New Roman" w:cs="Times New Roman"/>
          <w:color w:val="000000"/>
        </w:rPr>
        <w:t>. In the case of CALD communities, there are even few</w:t>
      </w:r>
      <w:r w:rsidR="00CF7614" w:rsidRPr="001E5744">
        <w:rPr>
          <w:rFonts w:ascii="Times New Roman" w:hAnsi="Times New Roman" w:cs="Times New Roman"/>
          <w:color w:val="000000"/>
        </w:rPr>
        <w:t>er</w:t>
      </w:r>
      <w:r w:rsidR="00226730" w:rsidRPr="001E5744">
        <w:rPr>
          <w:rFonts w:ascii="Times New Roman" w:hAnsi="Times New Roman" w:cs="Times New Roman"/>
          <w:color w:val="000000"/>
        </w:rPr>
        <w:t xml:space="preserve"> ethno-specific services which</w:t>
      </w:r>
      <w:r w:rsidR="0024652B" w:rsidRPr="001E5744">
        <w:rPr>
          <w:rFonts w:ascii="Times New Roman" w:hAnsi="Times New Roman" w:cs="Times New Roman"/>
          <w:color w:val="000000"/>
        </w:rPr>
        <w:t xml:space="preserve"> further</w:t>
      </w:r>
      <w:r w:rsidR="00226730" w:rsidRPr="001E5744">
        <w:rPr>
          <w:rFonts w:ascii="Times New Roman" w:hAnsi="Times New Roman" w:cs="Times New Roman"/>
          <w:color w:val="000000"/>
        </w:rPr>
        <w:t xml:space="preserve"> limits their choice (Gilbert et al.</w:t>
      </w:r>
      <w:r w:rsidR="00D3595D" w:rsidRPr="001E5744">
        <w:rPr>
          <w:rFonts w:ascii="Times New Roman" w:hAnsi="Times New Roman" w:cs="Times New Roman"/>
          <w:color w:val="000000"/>
        </w:rPr>
        <w:t>,</w:t>
      </w:r>
      <w:r w:rsidR="00226730" w:rsidRPr="001E5744">
        <w:rPr>
          <w:rFonts w:ascii="Times New Roman" w:hAnsi="Times New Roman" w:cs="Times New Roman"/>
          <w:color w:val="000000"/>
        </w:rPr>
        <w:t xml:space="preserve"> 202</w:t>
      </w:r>
      <w:r w:rsidR="00F72938" w:rsidRPr="001E5744">
        <w:rPr>
          <w:rFonts w:ascii="Times New Roman" w:hAnsi="Times New Roman" w:cs="Times New Roman"/>
          <w:color w:val="000000"/>
        </w:rPr>
        <w:t>2</w:t>
      </w:r>
      <w:r w:rsidR="00226730" w:rsidRPr="001E5744">
        <w:rPr>
          <w:rFonts w:ascii="Times New Roman" w:hAnsi="Times New Roman" w:cs="Times New Roman"/>
          <w:color w:val="000000"/>
        </w:rPr>
        <w:t>; Caldwell, 2014). Improving the quality, access to and navigation of aged care in Australia is high on the political agenda, including addressing gaps in the system that informal carers have been compensating for (Gilbert et al., 202</w:t>
      </w:r>
      <w:r w:rsidR="00F72938" w:rsidRPr="001E5744">
        <w:rPr>
          <w:rFonts w:ascii="Times New Roman" w:hAnsi="Times New Roman" w:cs="Times New Roman"/>
          <w:color w:val="000000"/>
        </w:rPr>
        <w:t>2</w:t>
      </w:r>
      <w:r w:rsidR="00226730" w:rsidRPr="001E5744">
        <w:rPr>
          <w:rFonts w:ascii="Times New Roman" w:hAnsi="Times New Roman" w:cs="Times New Roman"/>
          <w:color w:val="000000"/>
        </w:rPr>
        <w:t xml:space="preserve">). </w:t>
      </w:r>
      <w:r w:rsidR="00871365" w:rsidRPr="001E5744">
        <w:rPr>
          <w:rFonts w:ascii="Times New Roman" w:hAnsi="Times New Roman" w:cs="Times New Roman"/>
          <w:color w:val="000000"/>
        </w:rPr>
        <w:t>Gilbert et al. (202</w:t>
      </w:r>
      <w:r w:rsidR="00F72938" w:rsidRPr="001E5744">
        <w:rPr>
          <w:rFonts w:ascii="Times New Roman" w:hAnsi="Times New Roman" w:cs="Times New Roman"/>
          <w:color w:val="000000"/>
        </w:rPr>
        <w:t>2</w:t>
      </w:r>
      <w:r w:rsidR="00871365" w:rsidRPr="001E5744">
        <w:rPr>
          <w:rFonts w:ascii="Times New Roman" w:hAnsi="Times New Roman" w:cs="Times New Roman"/>
          <w:color w:val="000000"/>
        </w:rPr>
        <w:t xml:space="preserve">) </w:t>
      </w:r>
      <w:proofErr w:type="gramStart"/>
      <w:r w:rsidR="00871365" w:rsidRPr="001E5744">
        <w:rPr>
          <w:rFonts w:ascii="Times New Roman" w:hAnsi="Times New Roman" w:cs="Times New Roman"/>
          <w:color w:val="000000"/>
        </w:rPr>
        <w:t>suggest</w:t>
      </w:r>
      <w:proofErr w:type="gramEnd"/>
      <w:r w:rsidR="00E20431" w:rsidRPr="001E5744">
        <w:rPr>
          <w:rFonts w:ascii="Times New Roman" w:hAnsi="Times New Roman" w:cs="Times New Roman"/>
          <w:color w:val="000000"/>
        </w:rPr>
        <w:t xml:space="preserve"> that</w:t>
      </w:r>
      <w:r w:rsidR="00871365" w:rsidRPr="001E5744">
        <w:rPr>
          <w:rFonts w:ascii="Times New Roman" w:hAnsi="Times New Roman" w:cs="Times New Roman"/>
          <w:color w:val="000000"/>
        </w:rPr>
        <w:t xml:space="preserve"> in the context of CALD communities, the establishment and strengthening of community level support should be a key part of future reform</w:t>
      </w:r>
      <w:r w:rsidR="00E20431" w:rsidRPr="001E5744">
        <w:rPr>
          <w:rFonts w:ascii="Times New Roman" w:hAnsi="Times New Roman" w:cs="Times New Roman"/>
          <w:color w:val="000000"/>
        </w:rPr>
        <w:t xml:space="preserve"> </w:t>
      </w:r>
      <w:r w:rsidR="002F1CE1" w:rsidRPr="001E5744">
        <w:rPr>
          <w:rFonts w:ascii="Times New Roman" w:hAnsi="Times New Roman" w:cs="Times New Roman"/>
          <w:color w:val="000000"/>
        </w:rPr>
        <w:t>for</w:t>
      </w:r>
      <w:r w:rsidR="00E20431" w:rsidRPr="001E5744">
        <w:rPr>
          <w:rFonts w:ascii="Times New Roman" w:hAnsi="Times New Roman" w:cs="Times New Roman"/>
          <w:color w:val="000000"/>
        </w:rPr>
        <w:t xml:space="preserve"> ethno-specific services</w:t>
      </w:r>
      <w:r w:rsidR="002F1CE1" w:rsidRPr="001E5744">
        <w:rPr>
          <w:rFonts w:ascii="Times New Roman" w:hAnsi="Times New Roman" w:cs="Times New Roman"/>
          <w:color w:val="000000"/>
        </w:rPr>
        <w:t>. T</w:t>
      </w:r>
      <w:r w:rsidR="00CF7614" w:rsidRPr="001E5744">
        <w:rPr>
          <w:rFonts w:ascii="Times New Roman" w:hAnsi="Times New Roman" w:cs="Times New Roman"/>
          <w:color w:val="000000"/>
        </w:rPr>
        <w:t xml:space="preserve">hey </w:t>
      </w:r>
      <w:r w:rsidR="00E20431" w:rsidRPr="001E5744">
        <w:rPr>
          <w:rFonts w:ascii="Times New Roman" w:hAnsi="Times New Roman" w:cs="Times New Roman"/>
          <w:color w:val="000000"/>
        </w:rPr>
        <w:t xml:space="preserve">also call for mainstream services to better respond to the needs of ageing CALD communities </w:t>
      </w:r>
      <w:r w:rsidR="002F1CE1" w:rsidRPr="001E5744">
        <w:rPr>
          <w:rFonts w:ascii="Times New Roman" w:hAnsi="Times New Roman" w:cs="Times New Roman"/>
          <w:color w:val="000000"/>
        </w:rPr>
        <w:t xml:space="preserve">by </w:t>
      </w:r>
      <w:r w:rsidR="00A870ED" w:rsidRPr="001E5744">
        <w:rPr>
          <w:rFonts w:ascii="Times New Roman" w:hAnsi="Times New Roman" w:cs="Times New Roman"/>
          <w:color w:val="000000"/>
        </w:rPr>
        <w:t>utilising more translators and simplifying access to services and funding</w:t>
      </w:r>
      <w:r w:rsidR="00871365" w:rsidRPr="001E5744">
        <w:rPr>
          <w:rFonts w:ascii="Times New Roman" w:hAnsi="Times New Roman" w:cs="Times New Roman"/>
          <w:color w:val="000000"/>
        </w:rPr>
        <w:t xml:space="preserve">. </w:t>
      </w:r>
      <w:r w:rsidR="00226730" w:rsidRPr="001E5744">
        <w:rPr>
          <w:rFonts w:ascii="Times New Roman" w:hAnsi="Times New Roman" w:cs="Times New Roman"/>
          <w:color w:val="000000"/>
        </w:rPr>
        <w:t xml:space="preserve">Although the </w:t>
      </w:r>
      <w:r w:rsidR="00615435" w:rsidRPr="001E5744">
        <w:rPr>
          <w:rFonts w:ascii="Times New Roman" w:hAnsi="Times New Roman" w:cs="Times New Roman"/>
          <w:color w:val="000000"/>
        </w:rPr>
        <w:t xml:space="preserve">Aged Care </w:t>
      </w:r>
      <w:r w:rsidR="00226730" w:rsidRPr="001E5744">
        <w:rPr>
          <w:rFonts w:ascii="Times New Roman" w:hAnsi="Times New Roman" w:cs="Times New Roman"/>
          <w:color w:val="000000"/>
        </w:rPr>
        <w:t xml:space="preserve">Royal Commission placed significant importance on home care </w:t>
      </w:r>
      <w:r w:rsidR="00226730" w:rsidRPr="001E5744">
        <w:rPr>
          <w:rFonts w:ascii="Times New Roman" w:hAnsi="Times New Roman" w:cs="Times New Roman"/>
          <w:color w:val="000000"/>
        </w:rPr>
        <w:lastRenderedPageBreak/>
        <w:t xml:space="preserve">given older people’s preference to remain at home, it remains to be seen whether the new </w:t>
      </w:r>
      <w:proofErr w:type="spellStart"/>
      <w:r w:rsidR="00226730" w:rsidRPr="001E5744">
        <w:rPr>
          <w:rFonts w:ascii="Times New Roman" w:hAnsi="Times New Roman" w:cs="Times New Roman"/>
          <w:color w:val="000000"/>
        </w:rPr>
        <w:t>Labor</w:t>
      </w:r>
      <w:proofErr w:type="spellEnd"/>
      <w:r w:rsidR="00226730" w:rsidRPr="001E5744">
        <w:rPr>
          <w:rFonts w:ascii="Times New Roman" w:hAnsi="Times New Roman" w:cs="Times New Roman"/>
          <w:color w:val="000000"/>
        </w:rPr>
        <w:t xml:space="preserve"> government and new social policies will meet the demand for home care services.</w:t>
      </w:r>
    </w:p>
    <w:p w14:paraId="5C0693DE" w14:textId="214F857C" w:rsidR="007A7F47" w:rsidRPr="001E5744" w:rsidRDefault="00D56570"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Strengths-</w:t>
      </w:r>
      <w:r w:rsidR="008D0D52" w:rsidRPr="001E5744">
        <w:rPr>
          <w:rFonts w:ascii="Times New Roman" w:hAnsi="Times New Roman" w:cs="Times New Roman"/>
          <w:b/>
          <w:bCs/>
          <w:color w:val="C00000"/>
          <w:sz w:val="28"/>
          <w:szCs w:val="28"/>
        </w:rPr>
        <w:t>B</w:t>
      </w:r>
      <w:r w:rsidRPr="001E5744">
        <w:rPr>
          <w:rFonts w:ascii="Times New Roman" w:hAnsi="Times New Roman" w:cs="Times New Roman"/>
          <w:b/>
          <w:bCs/>
          <w:color w:val="C00000"/>
          <w:sz w:val="28"/>
          <w:szCs w:val="28"/>
        </w:rPr>
        <w:t xml:space="preserve">ased </w:t>
      </w:r>
      <w:r w:rsidR="00CD14C6" w:rsidRPr="001E5744">
        <w:rPr>
          <w:rFonts w:ascii="Times New Roman" w:hAnsi="Times New Roman" w:cs="Times New Roman"/>
          <w:b/>
          <w:bCs/>
          <w:color w:val="C00000"/>
          <w:sz w:val="28"/>
          <w:szCs w:val="28"/>
        </w:rPr>
        <w:t>A</w:t>
      </w:r>
      <w:r w:rsidRPr="001E5744">
        <w:rPr>
          <w:rFonts w:ascii="Times New Roman" w:hAnsi="Times New Roman" w:cs="Times New Roman"/>
          <w:b/>
          <w:bCs/>
          <w:color w:val="C00000"/>
          <w:sz w:val="28"/>
          <w:szCs w:val="28"/>
        </w:rPr>
        <w:t>pproaches</w:t>
      </w:r>
      <w:r w:rsidR="005D1695" w:rsidRPr="001E5744">
        <w:rPr>
          <w:rFonts w:ascii="Times New Roman" w:hAnsi="Times New Roman" w:cs="Times New Roman"/>
          <w:b/>
          <w:bCs/>
          <w:color w:val="C00000"/>
          <w:sz w:val="28"/>
          <w:szCs w:val="28"/>
        </w:rPr>
        <w:t xml:space="preserve"> – </w:t>
      </w:r>
      <w:r w:rsidR="00CD14C6" w:rsidRPr="001E5744">
        <w:rPr>
          <w:rFonts w:ascii="Times New Roman" w:hAnsi="Times New Roman" w:cs="Times New Roman"/>
          <w:b/>
          <w:bCs/>
          <w:color w:val="C00000"/>
          <w:sz w:val="28"/>
          <w:szCs w:val="28"/>
        </w:rPr>
        <w:t>R</w:t>
      </w:r>
      <w:r w:rsidR="005D1695" w:rsidRPr="001E5744">
        <w:rPr>
          <w:rFonts w:ascii="Times New Roman" w:hAnsi="Times New Roman" w:cs="Times New Roman"/>
          <w:b/>
          <w:bCs/>
          <w:color w:val="C00000"/>
          <w:sz w:val="28"/>
          <w:szCs w:val="28"/>
        </w:rPr>
        <w:t xml:space="preserve">elational </w:t>
      </w:r>
      <w:r w:rsidR="00CD14C6" w:rsidRPr="001E5744">
        <w:rPr>
          <w:rFonts w:ascii="Times New Roman" w:hAnsi="Times New Roman" w:cs="Times New Roman"/>
          <w:b/>
          <w:bCs/>
          <w:color w:val="C00000"/>
          <w:sz w:val="28"/>
          <w:szCs w:val="28"/>
        </w:rPr>
        <w:t>C</w:t>
      </w:r>
      <w:r w:rsidR="005D1695" w:rsidRPr="001E5744">
        <w:rPr>
          <w:rFonts w:ascii="Times New Roman" w:hAnsi="Times New Roman" w:cs="Times New Roman"/>
          <w:b/>
          <w:bCs/>
          <w:color w:val="C00000"/>
          <w:sz w:val="28"/>
          <w:szCs w:val="28"/>
        </w:rPr>
        <w:t>are</w:t>
      </w:r>
    </w:p>
    <w:p w14:paraId="07125413" w14:textId="76C38D7D" w:rsidR="00615435" w:rsidRPr="001E5744" w:rsidRDefault="005D1695" w:rsidP="001E5744">
      <w:pPr>
        <w:spacing w:before="240" w:after="240" w:line="360" w:lineRule="auto"/>
        <w:rPr>
          <w:rFonts w:ascii="Times New Roman" w:hAnsi="Times New Roman" w:cs="Times New Roman"/>
        </w:rPr>
      </w:pPr>
      <w:r w:rsidRPr="001E5744">
        <w:rPr>
          <w:rFonts w:ascii="Times New Roman" w:hAnsi="Times New Roman" w:cs="Times New Roman"/>
        </w:rPr>
        <w:t>Using a LCP and</w:t>
      </w:r>
      <w:r w:rsidR="00F72938" w:rsidRPr="001E5744">
        <w:rPr>
          <w:rFonts w:ascii="Times New Roman" w:hAnsi="Times New Roman" w:cs="Times New Roman"/>
        </w:rPr>
        <w:t xml:space="preserve"> </w:t>
      </w:r>
      <w:r w:rsidR="00F72938" w:rsidRPr="001E5744">
        <w:rPr>
          <w:rFonts w:ascii="Times New Roman" w:hAnsi="Times New Roman" w:cs="Times New Roman"/>
          <w:color w:val="000000"/>
        </w:rPr>
        <w:t xml:space="preserve">Macdonald and Mears’ </w:t>
      </w:r>
      <w:r w:rsidRPr="001E5744">
        <w:rPr>
          <w:rFonts w:ascii="Times New Roman" w:hAnsi="Times New Roman" w:cs="Times New Roman"/>
        </w:rPr>
        <w:t>(201</w:t>
      </w:r>
      <w:r w:rsidR="00F72938" w:rsidRPr="001E5744">
        <w:rPr>
          <w:rFonts w:ascii="Times New Roman" w:hAnsi="Times New Roman" w:cs="Times New Roman"/>
        </w:rPr>
        <w:t>9</w:t>
      </w:r>
      <w:r w:rsidRPr="001E5744">
        <w:rPr>
          <w:rFonts w:ascii="Times New Roman" w:hAnsi="Times New Roman" w:cs="Times New Roman"/>
        </w:rPr>
        <w:t>) framework of dementia as a social experience</w:t>
      </w:r>
      <w:r w:rsidR="00AC3267" w:rsidRPr="001E5744">
        <w:rPr>
          <w:rFonts w:ascii="Times New Roman" w:hAnsi="Times New Roman" w:cs="Times New Roman"/>
        </w:rPr>
        <w:t xml:space="preserve"> </w:t>
      </w:r>
      <w:r w:rsidRPr="001E5744">
        <w:rPr>
          <w:rFonts w:ascii="Times New Roman" w:hAnsi="Times New Roman" w:cs="Times New Roman"/>
        </w:rPr>
        <w:t xml:space="preserve">seeks to appreciate all humans as being fundamentally relational. </w:t>
      </w:r>
      <w:r w:rsidR="000D0BF0" w:rsidRPr="001E5744">
        <w:rPr>
          <w:rFonts w:ascii="Times New Roman" w:hAnsi="Times New Roman" w:cs="Times New Roman"/>
        </w:rPr>
        <w:t>W</w:t>
      </w:r>
      <w:r w:rsidR="003647CC" w:rsidRPr="001E5744">
        <w:rPr>
          <w:rFonts w:ascii="Times New Roman" w:hAnsi="Times New Roman" w:cs="Times New Roman"/>
        </w:rPr>
        <w:t xml:space="preserve">hen </w:t>
      </w:r>
      <w:r w:rsidR="00AC3267" w:rsidRPr="001E5744">
        <w:rPr>
          <w:rFonts w:ascii="Times New Roman" w:hAnsi="Times New Roman" w:cs="Times New Roman"/>
        </w:rPr>
        <w:t>c</w:t>
      </w:r>
      <w:r w:rsidR="003647CC" w:rsidRPr="001E5744">
        <w:rPr>
          <w:rFonts w:ascii="Times New Roman" w:hAnsi="Times New Roman" w:cs="Times New Roman"/>
        </w:rPr>
        <w:t>oupled</w:t>
      </w:r>
      <w:r w:rsidR="00AC3267" w:rsidRPr="001E5744">
        <w:rPr>
          <w:rFonts w:ascii="Times New Roman" w:hAnsi="Times New Roman" w:cs="Times New Roman"/>
        </w:rPr>
        <w:t xml:space="preserve"> </w:t>
      </w:r>
      <w:r w:rsidRPr="001E5744">
        <w:rPr>
          <w:rFonts w:ascii="Times New Roman" w:hAnsi="Times New Roman" w:cs="Times New Roman"/>
        </w:rPr>
        <w:t>with strengths-based social practice</w:t>
      </w:r>
      <w:r w:rsidR="00C27F24" w:rsidRPr="001E5744">
        <w:rPr>
          <w:rFonts w:ascii="Times New Roman" w:hAnsi="Times New Roman" w:cs="Times New Roman"/>
        </w:rPr>
        <w:t xml:space="preserve"> </w:t>
      </w:r>
      <w:r w:rsidR="000D0BF0" w:rsidRPr="001E5744">
        <w:rPr>
          <w:rFonts w:ascii="Times New Roman" w:hAnsi="Times New Roman" w:cs="Times New Roman"/>
        </w:rPr>
        <w:t xml:space="preserve">this mindset </w:t>
      </w:r>
      <w:r w:rsidR="003647CC" w:rsidRPr="001E5744">
        <w:rPr>
          <w:rFonts w:ascii="Times New Roman" w:hAnsi="Times New Roman" w:cs="Times New Roman"/>
        </w:rPr>
        <w:t>shifts</w:t>
      </w:r>
      <w:r w:rsidR="00C27F24" w:rsidRPr="001E5744">
        <w:rPr>
          <w:rFonts w:ascii="Times New Roman" w:hAnsi="Times New Roman" w:cs="Times New Roman"/>
        </w:rPr>
        <w:t xml:space="preserve"> problem-centred stories to empowering ones (Hutchison, 2019)</w:t>
      </w:r>
      <w:r w:rsidRPr="001E5744">
        <w:rPr>
          <w:rFonts w:ascii="Times New Roman" w:hAnsi="Times New Roman" w:cs="Times New Roman"/>
        </w:rPr>
        <w:t xml:space="preserve">. </w:t>
      </w:r>
      <w:r w:rsidR="00DF3054" w:rsidRPr="001E5744">
        <w:rPr>
          <w:rFonts w:ascii="Times New Roman" w:hAnsi="Times New Roman" w:cs="Times New Roman"/>
        </w:rPr>
        <w:t>We</w:t>
      </w:r>
      <w:r w:rsidRPr="001E5744">
        <w:rPr>
          <w:rFonts w:ascii="Times New Roman" w:hAnsi="Times New Roman" w:cs="Times New Roman"/>
        </w:rPr>
        <w:t xml:space="preserve"> can view </w:t>
      </w:r>
      <w:r w:rsidR="00DF3054" w:rsidRPr="001E5744">
        <w:rPr>
          <w:rFonts w:ascii="Times New Roman" w:hAnsi="Times New Roman" w:cs="Times New Roman"/>
        </w:rPr>
        <w:t>dementia</w:t>
      </w:r>
      <w:r w:rsidRPr="001E5744">
        <w:rPr>
          <w:rFonts w:ascii="Times New Roman" w:hAnsi="Times New Roman" w:cs="Times New Roman"/>
        </w:rPr>
        <w:t xml:space="preserve"> as shared care </w:t>
      </w:r>
      <w:r w:rsidR="00DF3054" w:rsidRPr="001E5744">
        <w:rPr>
          <w:rFonts w:ascii="Times New Roman" w:hAnsi="Times New Roman" w:cs="Times New Roman"/>
        </w:rPr>
        <w:t xml:space="preserve">that preserves personhood over </w:t>
      </w:r>
      <w:r w:rsidR="00615435" w:rsidRPr="001E5744">
        <w:rPr>
          <w:rFonts w:ascii="Times New Roman" w:hAnsi="Times New Roman" w:cs="Times New Roman"/>
        </w:rPr>
        <w:t xml:space="preserve">the </w:t>
      </w:r>
      <w:r w:rsidR="00DF3054" w:rsidRPr="001E5744">
        <w:rPr>
          <w:rFonts w:ascii="Times New Roman" w:hAnsi="Times New Roman" w:cs="Times New Roman"/>
        </w:rPr>
        <w:t xml:space="preserve">reactive management of behaviours, </w:t>
      </w:r>
      <w:r w:rsidRPr="001E5744">
        <w:rPr>
          <w:rFonts w:ascii="Times New Roman" w:hAnsi="Times New Roman" w:cs="Times New Roman"/>
        </w:rPr>
        <w:t>with a focus on what remains, rather than what has been lost</w:t>
      </w:r>
      <w:r w:rsidR="004A61B4" w:rsidRPr="001E5744">
        <w:rPr>
          <w:rFonts w:ascii="Times New Roman" w:hAnsi="Times New Roman" w:cs="Times New Roman"/>
        </w:rPr>
        <w:t xml:space="preserve"> </w:t>
      </w:r>
      <w:r w:rsidRPr="001E5744">
        <w:rPr>
          <w:rFonts w:ascii="Times New Roman" w:hAnsi="Times New Roman" w:cs="Times New Roman"/>
        </w:rPr>
        <w:t>(McGovern, 2015</w:t>
      </w:r>
      <w:r w:rsidR="004A61B4" w:rsidRPr="001E5744">
        <w:rPr>
          <w:rFonts w:ascii="Times New Roman" w:hAnsi="Times New Roman" w:cs="Times New Roman"/>
        </w:rPr>
        <w:t>; Macdonald &amp; Mears, 201</w:t>
      </w:r>
      <w:r w:rsidR="00F72938" w:rsidRPr="001E5744">
        <w:rPr>
          <w:rFonts w:ascii="Times New Roman" w:hAnsi="Times New Roman" w:cs="Times New Roman"/>
        </w:rPr>
        <w:t>9</w:t>
      </w:r>
      <w:r w:rsidRPr="001E5744">
        <w:rPr>
          <w:rFonts w:ascii="Times New Roman" w:hAnsi="Times New Roman" w:cs="Times New Roman"/>
        </w:rPr>
        <w:t xml:space="preserve">). </w:t>
      </w:r>
      <w:r w:rsidR="00764A49" w:rsidRPr="001E5744">
        <w:rPr>
          <w:rFonts w:ascii="Times New Roman" w:hAnsi="Times New Roman" w:cs="Times New Roman"/>
          <w:color w:val="000000"/>
        </w:rPr>
        <w:t>Nathanson and Rogers (2021) propose that normalising ambiguous loss and its inevitability for carers of people with dementia is key in transforming the experience from one of hopelessness to one that’s transformational and opportunistic</w:t>
      </w:r>
      <w:r w:rsidR="008D0D52" w:rsidRPr="001E5744">
        <w:rPr>
          <w:rFonts w:ascii="Times New Roman" w:hAnsi="Times New Roman" w:cs="Times New Roman"/>
          <w:color w:val="000000"/>
        </w:rPr>
        <w:t xml:space="preserve">. </w:t>
      </w:r>
      <w:r w:rsidR="00D73E81" w:rsidRPr="001E5744">
        <w:rPr>
          <w:rFonts w:ascii="Times New Roman" w:hAnsi="Times New Roman" w:cs="Times New Roman"/>
        </w:rPr>
        <w:t>F</w:t>
      </w:r>
      <w:r w:rsidRPr="001E5744">
        <w:rPr>
          <w:rFonts w:ascii="Times New Roman" w:hAnsi="Times New Roman" w:cs="Times New Roman"/>
        </w:rPr>
        <w:t>urther, a</w:t>
      </w:r>
      <w:r w:rsidR="0075088D" w:rsidRPr="001E5744">
        <w:rPr>
          <w:rFonts w:ascii="Times New Roman" w:hAnsi="Times New Roman" w:cs="Times New Roman"/>
        </w:rPr>
        <w:t>n emphasis on human agency is consistent with approaches that focus on individual, family, community and organisational strengths</w:t>
      </w:r>
      <w:r w:rsidRPr="001E5744">
        <w:rPr>
          <w:rFonts w:ascii="Times New Roman" w:hAnsi="Times New Roman" w:cs="Times New Roman"/>
        </w:rPr>
        <w:t xml:space="preserve"> (Hutchison, 2019). A strengths-focused approach can measure the quality of life in terms of relatedness, such as “shared moments rather than memories, feelin</w:t>
      </w:r>
      <w:r w:rsidR="00B63CDF" w:rsidRPr="001E5744">
        <w:rPr>
          <w:rFonts w:ascii="Times New Roman" w:hAnsi="Times New Roman" w:cs="Times New Roman"/>
        </w:rPr>
        <w:t>gs rather than thoughts” (McGovern, 2015, p. 409). Findings from McG</w:t>
      </w:r>
      <w:r w:rsidR="00C51B92" w:rsidRPr="001E5744">
        <w:rPr>
          <w:rFonts w:ascii="Times New Roman" w:hAnsi="Times New Roman" w:cs="Times New Roman"/>
        </w:rPr>
        <w:t>o</w:t>
      </w:r>
      <w:r w:rsidR="00B63CDF" w:rsidRPr="001E5744">
        <w:rPr>
          <w:rFonts w:ascii="Times New Roman" w:hAnsi="Times New Roman" w:cs="Times New Roman"/>
        </w:rPr>
        <w:t>vern’s (2015) study found that ‘we-</w:t>
      </w:r>
      <w:proofErr w:type="gramStart"/>
      <w:r w:rsidR="00B63CDF" w:rsidRPr="001E5744">
        <w:rPr>
          <w:rFonts w:ascii="Times New Roman" w:hAnsi="Times New Roman" w:cs="Times New Roman"/>
        </w:rPr>
        <w:t>ness’</w:t>
      </w:r>
      <w:proofErr w:type="gramEnd"/>
      <w:r w:rsidR="00B63CDF" w:rsidRPr="001E5744">
        <w:rPr>
          <w:rFonts w:ascii="Times New Roman" w:hAnsi="Times New Roman" w:cs="Times New Roman"/>
        </w:rPr>
        <w:t xml:space="preserve"> promotes a strengths perspective that can be sustained in the context of multiple losses. It encompasses family history </w:t>
      </w:r>
      <w:r w:rsidR="00C51B92" w:rsidRPr="001E5744">
        <w:rPr>
          <w:rFonts w:ascii="Times New Roman" w:hAnsi="Times New Roman" w:cs="Times New Roman"/>
        </w:rPr>
        <w:t xml:space="preserve">through the emergence of a ‘we’ identity where family members use their family system and shared history to connect in the present. In addition, </w:t>
      </w:r>
      <w:r w:rsidR="00C9625C" w:rsidRPr="001E5744">
        <w:rPr>
          <w:rFonts w:ascii="Times New Roman" w:hAnsi="Times New Roman" w:cs="Times New Roman"/>
        </w:rPr>
        <w:t>a strengths perspective can</w:t>
      </w:r>
      <w:r w:rsidR="00C51B92" w:rsidRPr="001E5744">
        <w:rPr>
          <w:rFonts w:ascii="Times New Roman" w:hAnsi="Times New Roman" w:cs="Times New Roman"/>
        </w:rPr>
        <w:t xml:space="preserve"> encourag</w:t>
      </w:r>
      <w:r w:rsidR="00C9625C" w:rsidRPr="001E5744">
        <w:rPr>
          <w:rFonts w:ascii="Times New Roman" w:hAnsi="Times New Roman" w:cs="Times New Roman"/>
        </w:rPr>
        <w:t>e</w:t>
      </w:r>
      <w:r w:rsidR="00C51B92" w:rsidRPr="001E5744">
        <w:rPr>
          <w:rFonts w:ascii="Times New Roman" w:hAnsi="Times New Roman" w:cs="Times New Roman"/>
        </w:rPr>
        <w:t xml:space="preserve"> families to share special times together rather than letting it be defined by capacity</w:t>
      </w:r>
      <w:r w:rsidR="00DF3054" w:rsidRPr="001E5744">
        <w:rPr>
          <w:rFonts w:ascii="Times New Roman" w:hAnsi="Times New Roman" w:cs="Times New Roman"/>
        </w:rPr>
        <w:t>. For example, o</w:t>
      </w:r>
      <w:r w:rsidR="00C51B92" w:rsidRPr="001E5744">
        <w:rPr>
          <w:rFonts w:ascii="Times New Roman" w:hAnsi="Times New Roman" w:cs="Times New Roman"/>
        </w:rPr>
        <w:t xml:space="preserve">ne participant in </w:t>
      </w:r>
      <w:r w:rsidR="000D0BF0" w:rsidRPr="001E5744">
        <w:rPr>
          <w:rFonts w:ascii="Times New Roman" w:hAnsi="Times New Roman" w:cs="Times New Roman"/>
        </w:rPr>
        <w:t>McGovern’s</w:t>
      </w:r>
      <w:r w:rsidR="00C51B92" w:rsidRPr="001E5744">
        <w:rPr>
          <w:rFonts w:ascii="Times New Roman" w:hAnsi="Times New Roman" w:cs="Times New Roman"/>
        </w:rPr>
        <w:t xml:space="preserve"> study said, “I don’t know what the movie is about…but in the moment, I have a perfect life” (McGovern, 2015, p. 413-414). A strengths </w:t>
      </w:r>
      <w:r w:rsidR="00C9625C" w:rsidRPr="001E5744">
        <w:rPr>
          <w:rFonts w:ascii="Times New Roman" w:hAnsi="Times New Roman" w:cs="Times New Roman"/>
        </w:rPr>
        <w:t>approach</w:t>
      </w:r>
      <w:r w:rsidR="00C51B92" w:rsidRPr="001E5744">
        <w:rPr>
          <w:rFonts w:ascii="Times New Roman" w:hAnsi="Times New Roman" w:cs="Times New Roman"/>
        </w:rPr>
        <w:t xml:space="preserve"> can </w:t>
      </w:r>
      <w:r w:rsidR="00C9625C" w:rsidRPr="001E5744">
        <w:rPr>
          <w:rFonts w:ascii="Times New Roman" w:hAnsi="Times New Roman" w:cs="Times New Roman"/>
        </w:rPr>
        <w:t xml:space="preserve">also </w:t>
      </w:r>
      <w:r w:rsidR="00C51B92" w:rsidRPr="001E5744">
        <w:rPr>
          <w:rFonts w:ascii="Times New Roman" w:hAnsi="Times New Roman" w:cs="Times New Roman"/>
        </w:rPr>
        <w:t xml:space="preserve">allow for different areas of growth for carers </w:t>
      </w:r>
      <w:r w:rsidR="00D73E81" w:rsidRPr="001E5744">
        <w:rPr>
          <w:rFonts w:ascii="Times New Roman" w:hAnsi="Times New Roman" w:cs="Times New Roman"/>
        </w:rPr>
        <w:t>including</w:t>
      </w:r>
      <w:r w:rsidR="00C51B92" w:rsidRPr="001E5744">
        <w:rPr>
          <w:rFonts w:ascii="Times New Roman" w:hAnsi="Times New Roman" w:cs="Times New Roman"/>
        </w:rPr>
        <w:t xml:space="preserve"> becoming more patient, building new skills, sharing new experiences like marking art, or finding a new sense of purpose. </w:t>
      </w:r>
      <w:r w:rsidR="00F72938" w:rsidRPr="001E5744">
        <w:rPr>
          <w:rFonts w:ascii="Times New Roman" w:hAnsi="Times New Roman" w:cs="Times New Roman"/>
          <w:color w:val="000000"/>
        </w:rPr>
        <w:t>Macdonald and Mears</w:t>
      </w:r>
      <w:r w:rsidR="00C51B92" w:rsidRPr="001E5744">
        <w:rPr>
          <w:rFonts w:ascii="Times New Roman" w:hAnsi="Times New Roman" w:cs="Times New Roman"/>
        </w:rPr>
        <w:t xml:space="preserve"> (201</w:t>
      </w:r>
      <w:r w:rsidR="00F72938" w:rsidRPr="001E5744">
        <w:rPr>
          <w:rFonts w:ascii="Times New Roman" w:hAnsi="Times New Roman" w:cs="Times New Roman"/>
        </w:rPr>
        <w:t>9</w:t>
      </w:r>
      <w:r w:rsidR="00C51B92" w:rsidRPr="001E5744">
        <w:rPr>
          <w:rFonts w:ascii="Times New Roman" w:hAnsi="Times New Roman" w:cs="Times New Roman"/>
        </w:rPr>
        <w:t xml:space="preserve">, p. 26) reiterate this idea; that caring for someone with dementia can be an opportunity to demonstrate loyalty and humanity, with an ability to promote their loved one’s personhood and identity. </w:t>
      </w:r>
      <w:r w:rsidR="00764A49" w:rsidRPr="001E5744">
        <w:rPr>
          <w:rFonts w:ascii="Times New Roman" w:hAnsi="Times New Roman" w:cs="Times New Roman"/>
        </w:rPr>
        <w:t xml:space="preserve">These approaches are also useful in working with CALD families, to help them identify their range of strengths and resilience in the face of adversity. It’s also particularly </w:t>
      </w:r>
      <w:r w:rsidR="00D73E81" w:rsidRPr="001E5744">
        <w:rPr>
          <w:rFonts w:ascii="Times New Roman" w:hAnsi="Times New Roman" w:cs="Times New Roman"/>
        </w:rPr>
        <w:t xml:space="preserve">effective </w:t>
      </w:r>
      <w:r w:rsidR="00764A49" w:rsidRPr="001E5744">
        <w:rPr>
          <w:rFonts w:ascii="Times New Roman" w:hAnsi="Times New Roman" w:cs="Times New Roman"/>
        </w:rPr>
        <w:t xml:space="preserve">in its focus on family systems and </w:t>
      </w:r>
      <w:r w:rsidR="00C27F24" w:rsidRPr="001E5744">
        <w:rPr>
          <w:rFonts w:ascii="Times New Roman" w:hAnsi="Times New Roman" w:cs="Times New Roman"/>
        </w:rPr>
        <w:t>relationships when</w:t>
      </w:r>
      <w:r w:rsidR="00764A49" w:rsidRPr="001E5744">
        <w:rPr>
          <w:rFonts w:ascii="Times New Roman" w:hAnsi="Times New Roman" w:cs="Times New Roman"/>
        </w:rPr>
        <w:t xml:space="preserve"> working with people from collectivist cultures as it counters individualistic </w:t>
      </w:r>
      <w:r w:rsidR="00615435" w:rsidRPr="001E5744">
        <w:rPr>
          <w:rFonts w:ascii="Times New Roman" w:hAnsi="Times New Roman" w:cs="Times New Roman"/>
        </w:rPr>
        <w:t>narratives,</w:t>
      </w:r>
      <w:r w:rsidR="00764A49" w:rsidRPr="001E5744">
        <w:rPr>
          <w:rFonts w:ascii="Times New Roman" w:hAnsi="Times New Roman" w:cs="Times New Roman"/>
        </w:rPr>
        <w:t xml:space="preserve"> </w:t>
      </w:r>
      <w:r w:rsidR="00615435" w:rsidRPr="001E5744">
        <w:rPr>
          <w:rFonts w:ascii="Times New Roman" w:hAnsi="Times New Roman" w:cs="Times New Roman"/>
        </w:rPr>
        <w:t xml:space="preserve">i.e., </w:t>
      </w:r>
      <w:r w:rsidR="00764A49" w:rsidRPr="001E5744">
        <w:rPr>
          <w:rFonts w:ascii="Times New Roman" w:hAnsi="Times New Roman" w:cs="Times New Roman"/>
        </w:rPr>
        <w:t>“living better with dementia requires joining with others in care partnerships” (McGovern, 2015</w:t>
      </w:r>
      <w:r w:rsidR="00C9625C" w:rsidRPr="001E5744">
        <w:rPr>
          <w:rFonts w:ascii="Times New Roman" w:hAnsi="Times New Roman" w:cs="Times New Roman"/>
        </w:rPr>
        <w:t>,</w:t>
      </w:r>
      <w:r w:rsidR="00764A49" w:rsidRPr="001E5744">
        <w:rPr>
          <w:rFonts w:ascii="Times New Roman" w:hAnsi="Times New Roman" w:cs="Times New Roman"/>
        </w:rPr>
        <w:t xml:space="preserve"> </w:t>
      </w:r>
      <w:r w:rsidR="00C9625C" w:rsidRPr="001E5744">
        <w:rPr>
          <w:rFonts w:ascii="Times New Roman" w:hAnsi="Times New Roman" w:cs="Times New Roman"/>
        </w:rPr>
        <w:t>p</w:t>
      </w:r>
      <w:r w:rsidR="00764A49" w:rsidRPr="001E5744">
        <w:rPr>
          <w:rFonts w:ascii="Times New Roman" w:hAnsi="Times New Roman" w:cs="Times New Roman"/>
        </w:rPr>
        <w:t>. 417).</w:t>
      </w:r>
      <w:r w:rsidR="001677EA" w:rsidRPr="001E5744">
        <w:rPr>
          <w:rFonts w:ascii="Times New Roman" w:hAnsi="Times New Roman" w:cs="Times New Roman"/>
        </w:rPr>
        <w:t xml:space="preserve"> </w:t>
      </w:r>
    </w:p>
    <w:p w14:paraId="3D7925B8" w14:textId="4043A576" w:rsidR="00F4332A" w:rsidRPr="001E5744" w:rsidRDefault="000D0BF0"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lastRenderedPageBreak/>
        <w:t>Education Provision</w:t>
      </w:r>
    </w:p>
    <w:p w14:paraId="1FF8AE27" w14:textId="0B50A48F" w:rsidR="00CD14C6" w:rsidRPr="001E5744" w:rsidRDefault="00F4332A" w:rsidP="001E5744">
      <w:pPr>
        <w:spacing w:before="240" w:after="240" w:line="360" w:lineRule="auto"/>
        <w:rPr>
          <w:rFonts w:ascii="Times New Roman" w:hAnsi="Times New Roman" w:cs="Times New Roman"/>
        </w:rPr>
      </w:pPr>
      <w:r w:rsidRPr="001E5744">
        <w:rPr>
          <w:rFonts w:ascii="Times New Roman" w:hAnsi="Times New Roman" w:cs="Times New Roman"/>
        </w:rPr>
        <w:t xml:space="preserve">Greater knowledge of dementia as an illness has been shown to increase hope and decrease anxiety about it for carers which benefits the person with dementia </w:t>
      </w:r>
      <w:r w:rsidR="001677EA" w:rsidRPr="001E5744">
        <w:rPr>
          <w:rFonts w:ascii="Times New Roman" w:hAnsi="Times New Roman" w:cs="Times New Roman"/>
        </w:rPr>
        <w:t xml:space="preserve">(Dementia Australia, n.d.). </w:t>
      </w:r>
      <w:r w:rsidR="00287A7F" w:rsidRPr="001E5744">
        <w:rPr>
          <w:rFonts w:ascii="Times New Roman" w:hAnsi="Times New Roman" w:cs="Times New Roman"/>
        </w:rPr>
        <w:t xml:space="preserve">Social workers can be well placed to assist with this education and provide clarification, particularly in hospital settings where an admission often precedes a move to residential care. Moving to aged care is a significant transition in the life of the person with dementia as well as their </w:t>
      </w:r>
      <w:proofErr w:type="spellStart"/>
      <w:r w:rsidR="00287A7F" w:rsidRPr="001E5744">
        <w:rPr>
          <w:rFonts w:ascii="Times New Roman" w:hAnsi="Times New Roman" w:cs="Times New Roman"/>
        </w:rPr>
        <w:t>carers</w:t>
      </w:r>
      <w:proofErr w:type="spellEnd"/>
      <w:r w:rsidR="00287A7F" w:rsidRPr="001E5744">
        <w:rPr>
          <w:rFonts w:ascii="Times New Roman" w:hAnsi="Times New Roman" w:cs="Times New Roman"/>
        </w:rPr>
        <w:t>, family and partners</w:t>
      </w:r>
      <w:r w:rsidR="00EB3031" w:rsidRPr="001E5744">
        <w:rPr>
          <w:rFonts w:ascii="Times New Roman" w:hAnsi="Times New Roman" w:cs="Times New Roman"/>
        </w:rPr>
        <w:t xml:space="preserve"> (Fitzpatrick &amp; Grace, 2019)</w:t>
      </w:r>
      <w:r w:rsidR="00287A7F" w:rsidRPr="001E5744">
        <w:rPr>
          <w:rFonts w:ascii="Times New Roman" w:hAnsi="Times New Roman" w:cs="Times New Roman"/>
        </w:rPr>
        <w:t xml:space="preserve">. </w:t>
      </w:r>
      <w:r w:rsidR="00EB3031" w:rsidRPr="001E5744">
        <w:rPr>
          <w:rFonts w:ascii="Times New Roman" w:hAnsi="Times New Roman" w:cs="Times New Roman"/>
        </w:rPr>
        <w:t>While it can be incredibly difficult at times for hospital</w:t>
      </w:r>
      <w:r w:rsidR="00615435" w:rsidRPr="001E5744">
        <w:rPr>
          <w:rFonts w:ascii="Times New Roman" w:hAnsi="Times New Roman" w:cs="Times New Roman"/>
        </w:rPr>
        <w:t xml:space="preserve"> social</w:t>
      </w:r>
      <w:r w:rsidR="00EB3031" w:rsidRPr="001E5744">
        <w:rPr>
          <w:rFonts w:ascii="Times New Roman" w:hAnsi="Times New Roman" w:cs="Times New Roman"/>
        </w:rPr>
        <w:t xml:space="preserve"> workers to promote person and family centred care </w:t>
      </w:r>
      <w:r w:rsidR="00A82D43" w:rsidRPr="001E5744">
        <w:rPr>
          <w:rFonts w:ascii="Times New Roman" w:hAnsi="Times New Roman" w:cs="Times New Roman"/>
        </w:rPr>
        <w:t>alongside pressure</w:t>
      </w:r>
      <w:r w:rsidR="00EB3031" w:rsidRPr="001E5744">
        <w:rPr>
          <w:rFonts w:ascii="Times New Roman" w:hAnsi="Times New Roman" w:cs="Times New Roman"/>
        </w:rPr>
        <w:t xml:space="preserve"> from the hospital to discharge and shorten lengths of stay, there </w:t>
      </w:r>
      <w:r w:rsidR="004A4711" w:rsidRPr="001E5744">
        <w:rPr>
          <w:rFonts w:ascii="Times New Roman" w:hAnsi="Times New Roman" w:cs="Times New Roman"/>
        </w:rPr>
        <w:t>remains</w:t>
      </w:r>
      <w:r w:rsidR="000D0BF0" w:rsidRPr="001E5744">
        <w:rPr>
          <w:rFonts w:ascii="Times New Roman" w:hAnsi="Times New Roman" w:cs="Times New Roman"/>
        </w:rPr>
        <w:t xml:space="preserve"> </w:t>
      </w:r>
      <w:r w:rsidR="00EB3031" w:rsidRPr="001E5744">
        <w:rPr>
          <w:rFonts w:ascii="Times New Roman" w:hAnsi="Times New Roman" w:cs="Times New Roman"/>
        </w:rPr>
        <w:t xml:space="preserve">opportunities for strengths-based practice. Transitions can be disempowering and incredibly stressful for carers yet social workers can emphasise the strengths of the person with dementia and their </w:t>
      </w:r>
      <w:proofErr w:type="spellStart"/>
      <w:r w:rsidR="00EB3031" w:rsidRPr="001E5744">
        <w:rPr>
          <w:rFonts w:ascii="Times New Roman" w:hAnsi="Times New Roman" w:cs="Times New Roman"/>
        </w:rPr>
        <w:t>carers</w:t>
      </w:r>
      <w:proofErr w:type="spellEnd"/>
      <w:r w:rsidR="000D0BF0" w:rsidRPr="001E5744">
        <w:rPr>
          <w:rFonts w:ascii="Times New Roman" w:hAnsi="Times New Roman" w:cs="Times New Roman"/>
        </w:rPr>
        <w:t>,</w:t>
      </w:r>
      <w:r w:rsidR="00EB3031" w:rsidRPr="001E5744">
        <w:rPr>
          <w:rFonts w:ascii="Times New Roman" w:hAnsi="Times New Roman" w:cs="Times New Roman"/>
        </w:rPr>
        <w:t xml:space="preserve"> normalise their experience</w:t>
      </w:r>
      <w:r w:rsidR="000D0BF0" w:rsidRPr="001E5744">
        <w:rPr>
          <w:rFonts w:ascii="Times New Roman" w:hAnsi="Times New Roman" w:cs="Times New Roman"/>
        </w:rPr>
        <w:t>s</w:t>
      </w:r>
      <w:r w:rsidR="00EB3031" w:rsidRPr="001E5744">
        <w:rPr>
          <w:rFonts w:ascii="Times New Roman" w:hAnsi="Times New Roman" w:cs="Times New Roman"/>
        </w:rPr>
        <w:t xml:space="preserve"> and validate their feelings</w:t>
      </w:r>
      <w:r w:rsidR="00DB115E" w:rsidRPr="001E5744">
        <w:rPr>
          <w:rFonts w:ascii="Times New Roman" w:hAnsi="Times New Roman" w:cs="Times New Roman"/>
        </w:rPr>
        <w:t xml:space="preserve"> (</w:t>
      </w:r>
      <w:r w:rsidR="00F72938" w:rsidRPr="001E5744">
        <w:rPr>
          <w:rFonts w:ascii="Times New Roman" w:hAnsi="Times New Roman" w:cs="Times New Roman"/>
          <w:color w:val="000000"/>
        </w:rPr>
        <w:t>Macdonald and Mears</w:t>
      </w:r>
      <w:r w:rsidR="00DB115E" w:rsidRPr="001E5744">
        <w:rPr>
          <w:rFonts w:ascii="Times New Roman" w:hAnsi="Times New Roman" w:cs="Times New Roman"/>
        </w:rPr>
        <w:t>, 201</w:t>
      </w:r>
      <w:r w:rsidR="00F72938" w:rsidRPr="001E5744">
        <w:rPr>
          <w:rFonts w:ascii="Times New Roman" w:hAnsi="Times New Roman" w:cs="Times New Roman"/>
        </w:rPr>
        <w:t>9</w:t>
      </w:r>
      <w:r w:rsidR="00DB115E" w:rsidRPr="001E5744">
        <w:rPr>
          <w:rFonts w:ascii="Times New Roman" w:hAnsi="Times New Roman" w:cs="Times New Roman"/>
        </w:rPr>
        <w:t>)</w:t>
      </w:r>
      <w:r w:rsidR="00EB3031" w:rsidRPr="001E5744">
        <w:rPr>
          <w:rFonts w:ascii="Times New Roman" w:hAnsi="Times New Roman" w:cs="Times New Roman"/>
        </w:rPr>
        <w:t>.</w:t>
      </w:r>
      <w:r w:rsidR="00DB115E" w:rsidRPr="001E5744">
        <w:rPr>
          <w:rFonts w:ascii="Times New Roman" w:hAnsi="Times New Roman" w:cs="Times New Roman"/>
        </w:rPr>
        <w:t xml:space="preserve"> </w:t>
      </w:r>
      <w:r w:rsidR="004A4711" w:rsidRPr="001E5744">
        <w:rPr>
          <w:rFonts w:ascii="Times New Roman" w:hAnsi="Times New Roman" w:cs="Times New Roman"/>
        </w:rPr>
        <w:t xml:space="preserve">Research by Fitzpatrick and Grace (2019) also found that organising family meetings and spending time with the family to educate them on the illness were valuable for information sharing and collaboration. </w:t>
      </w:r>
      <w:r w:rsidR="00DB115E" w:rsidRPr="001E5744">
        <w:rPr>
          <w:rFonts w:ascii="Times New Roman" w:hAnsi="Times New Roman" w:cs="Times New Roman"/>
        </w:rPr>
        <w:t>Th</w:t>
      </w:r>
      <w:r w:rsidR="000D0BF0" w:rsidRPr="001E5744">
        <w:rPr>
          <w:rFonts w:ascii="Times New Roman" w:hAnsi="Times New Roman" w:cs="Times New Roman"/>
        </w:rPr>
        <w:t>ese s</w:t>
      </w:r>
      <w:r w:rsidR="00DB115E" w:rsidRPr="001E5744">
        <w:rPr>
          <w:rFonts w:ascii="Times New Roman" w:hAnsi="Times New Roman" w:cs="Times New Roman"/>
        </w:rPr>
        <w:t xml:space="preserve">mall but powerful </w:t>
      </w:r>
      <w:r w:rsidR="004A4711" w:rsidRPr="001E5744">
        <w:rPr>
          <w:rFonts w:ascii="Times New Roman" w:hAnsi="Times New Roman" w:cs="Times New Roman"/>
        </w:rPr>
        <w:t>actions can</w:t>
      </w:r>
      <w:r w:rsidR="00DB115E" w:rsidRPr="001E5744">
        <w:rPr>
          <w:rFonts w:ascii="Times New Roman" w:hAnsi="Times New Roman" w:cs="Times New Roman"/>
        </w:rPr>
        <w:t xml:space="preserve"> foster positive interactions</w:t>
      </w:r>
      <w:r w:rsidR="004A4711" w:rsidRPr="001E5744">
        <w:rPr>
          <w:rFonts w:ascii="Times New Roman" w:hAnsi="Times New Roman" w:cs="Times New Roman"/>
        </w:rPr>
        <w:t>, give some control back to families</w:t>
      </w:r>
      <w:r w:rsidR="00DB115E" w:rsidRPr="001E5744">
        <w:rPr>
          <w:rFonts w:ascii="Times New Roman" w:hAnsi="Times New Roman" w:cs="Times New Roman"/>
        </w:rPr>
        <w:t xml:space="preserve"> and assist in lowering caregivers’ fear or anxiety around dementia. </w:t>
      </w:r>
    </w:p>
    <w:p w14:paraId="01214F59" w14:textId="1F052162" w:rsidR="00123F44" w:rsidRPr="001E5744" w:rsidRDefault="00287A7F"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t>Conclusion</w:t>
      </w:r>
    </w:p>
    <w:p w14:paraId="3FB24365" w14:textId="67C2AB25" w:rsidR="002C1398" w:rsidRPr="001E5744" w:rsidRDefault="00287A7F" w:rsidP="001E5744">
      <w:pPr>
        <w:spacing w:before="240" w:after="240" w:line="360" w:lineRule="auto"/>
        <w:rPr>
          <w:rFonts w:ascii="Times New Roman" w:hAnsi="Times New Roman" w:cs="Times New Roman"/>
          <w:color w:val="000000"/>
        </w:rPr>
      </w:pPr>
      <w:r w:rsidRPr="001E5744">
        <w:rPr>
          <w:rFonts w:ascii="Times New Roman" w:hAnsi="Times New Roman" w:cs="Times New Roman"/>
          <w:color w:val="000000"/>
        </w:rPr>
        <w:t xml:space="preserve">While there has been </w:t>
      </w:r>
      <w:r w:rsidR="00610A77" w:rsidRPr="001E5744">
        <w:rPr>
          <w:rFonts w:ascii="Times New Roman" w:hAnsi="Times New Roman" w:cs="Times New Roman"/>
          <w:color w:val="000000"/>
        </w:rPr>
        <w:t>a</w:t>
      </w:r>
      <w:r w:rsidRPr="001E5744">
        <w:rPr>
          <w:rFonts w:ascii="Times New Roman" w:hAnsi="Times New Roman" w:cs="Times New Roman"/>
          <w:color w:val="000000"/>
        </w:rPr>
        <w:t xml:space="preserve"> significant shift in approaches to care for people living with dementia in the past </w:t>
      </w:r>
      <w:r w:rsidR="004621DF">
        <w:rPr>
          <w:rFonts w:ascii="Times New Roman" w:hAnsi="Times New Roman" w:cs="Times New Roman"/>
          <w:color w:val="000000"/>
        </w:rPr>
        <w:t>twenty</w:t>
      </w:r>
      <w:r w:rsidRPr="001E5744">
        <w:rPr>
          <w:rFonts w:ascii="Times New Roman" w:hAnsi="Times New Roman" w:cs="Times New Roman"/>
          <w:color w:val="000000"/>
        </w:rPr>
        <w:t xml:space="preserve"> years, this paper argues that there needs to be more radical change at structural and organisational </w:t>
      </w:r>
      <w:r w:rsidR="00615435" w:rsidRPr="001E5744">
        <w:rPr>
          <w:rFonts w:ascii="Times New Roman" w:hAnsi="Times New Roman" w:cs="Times New Roman"/>
          <w:color w:val="000000"/>
        </w:rPr>
        <w:t>levels,</w:t>
      </w:r>
      <w:r w:rsidRPr="001E5744">
        <w:rPr>
          <w:rFonts w:ascii="Times New Roman" w:hAnsi="Times New Roman" w:cs="Times New Roman"/>
          <w:color w:val="000000"/>
        </w:rPr>
        <w:t xml:space="preserve"> </w:t>
      </w:r>
      <w:r w:rsidR="004A4711" w:rsidRPr="001E5744">
        <w:rPr>
          <w:rFonts w:ascii="Times New Roman" w:hAnsi="Times New Roman" w:cs="Times New Roman"/>
          <w:color w:val="000000"/>
        </w:rPr>
        <w:t>so</w:t>
      </w:r>
      <w:r w:rsidRPr="001E5744">
        <w:rPr>
          <w:rFonts w:ascii="Times New Roman" w:hAnsi="Times New Roman" w:cs="Times New Roman"/>
          <w:color w:val="000000"/>
        </w:rPr>
        <w:t xml:space="preserve"> dementia </w:t>
      </w:r>
      <w:r w:rsidR="004A4711" w:rsidRPr="001E5744">
        <w:rPr>
          <w:rFonts w:ascii="Times New Roman" w:hAnsi="Times New Roman" w:cs="Times New Roman"/>
          <w:color w:val="000000"/>
        </w:rPr>
        <w:t xml:space="preserve">is also viewed </w:t>
      </w:r>
      <w:r w:rsidRPr="001E5744">
        <w:rPr>
          <w:rFonts w:ascii="Times New Roman" w:hAnsi="Times New Roman" w:cs="Times New Roman"/>
          <w:color w:val="000000"/>
        </w:rPr>
        <w:t>as a shared social experience</w:t>
      </w:r>
      <w:r w:rsidR="000D0BF0" w:rsidRPr="001E5744">
        <w:rPr>
          <w:rFonts w:ascii="Times New Roman" w:hAnsi="Times New Roman" w:cs="Times New Roman"/>
          <w:color w:val="000000"/>
        </w:rPr>
        <w:t xml:space="preserve"> </w:t>
      </w:r>
      <w:r w:rsidR="00F72938" w:rsidRPr="001E5744">
        <w:rPr>
          <w:rFonts w:ascii="Times New Roman" w:hAnsi="Times New Roman" w:cs="Times New Roman"/>
          <w:color w:val="000000"/>
        </w:rPr>
        <w:t>(Macdonald and Mears</w:t>
      </w:r>
      <w:r w:rsidR="00D3595D" w:rsidRPr="001E5744">
        <w:rPr>
          <w:rFonts w:ascii="Times New Roman" w:hAnsi="Times New Roman" w:cs="Times New Roman"/>
          <w:color w:val="000000"/>
        </w:rPr>
        <w:t>, 2019</w:t>
      </w:r>
      <w:r w:rsidR="000D0BF0" w:rsidRPr="001E5744">
        <w:rPr>
          <w:rFonts w:ascii="Times New Roman" w:hAnsi="Times New Roman" w:cs="Times New Roman"/>
          <w:color w:val="000000"/>
        </w:rPr>
        <w:t>)</w:t>
      </w:r>
      <w:r w:rsidR="006A2E43" w:rsidRPr="001E5744">
        <w:rPr>
          <w:rFonts w:ascii="Times New Roman" w:hAnsi="Times New Roman" w:cs="Times New Roman"/>
          <w:color w:val="000000"/>
        </w:rPr>
        <w:t xml:space="preserve">. Living with dementia can be incredibly challenging but the impacts on carers can be further amplified when their experiences exist in an ageist society that values profit and individualism over care and vulnerability. While </w:t>
      </w:r>
      <w:r w:rsidR="0016394B" w:rsidRPr="001E5744">
        <w:rPr>
          <w:rFonts w:ascii="Times New Roman" w:hAnsi="Times New Roman" w:cs="Times New Roman"/>
          <w:color w:val="000000"/>
        </w:rPr>
        <w:t>change needs to happen at a policy level to address the</w:t>
      </w:r>
      <w:r w:rsidR="006A2E43" w:rsidRPr="001E5744">
        <w:rPr>
          <w:rFonts w:ascii="Times New Roman" w:hAnsi="Times New Roman" w:cs="Times New Roman"/>
          <w:color w:val="000000"/>
        </w:rPr>
        <w:t xml:space="preserve"> systemic inequalities and oppressions that exist in Australia’s aged care system, </w:t>
      </w:r>
      <w:r w:rsidR="0016394B" w:rsidRPr="001E5744">
        <w:rPr>
          <w:rFonts w:ascii="Times New Roman" w:hAnsi="Times New Roman" w:cs="Times New Roman"/>
          <w:color w:val="000000"/>
        </w:rPr>
        <w:t xml:space="preserve">social work also has a valuable place within this environment. Taking a life course perspective promotes strengths-based practice and values the importance of human relationships. Moving towards approaches such as these - that understand an individual within their own context and favour family and community care over individualistic objectives - can enhance the wellbeing of people with dementia </w:t>
      </w:r>
      <w:r w:rsidR="004A4711" w:rsidRPr="001E5744">
        <w:rPr>
          <w:rFonts w:ascii="Times New Roman" w:hAnsi="Times New Roman" w:cs="Times New Roman"/>
          <w:color w:val="000000"/>
        </w:rPr>
        <w:t xml:space="preserve">and their </w:t>
      </w:r>
      <w:proofErr w:type="spellStart"/>
      <w:r w:rsidR="004A4711" w:rsidRPr="001E5744">
        <w:rPr>
          <w:rFonts w:ascii="Times New Roman" w:hAnsi="Times New Roman" w:cs="Times New Roman"/>
          <w:color w:val="000000"/>
        </w:rPr>
        <w:lastRenderedPageBreak/>
        <w:t>carers</w:t>
      </w:r>
      <w:proofErr w:type="spellEnd"/>
      <w:r w:rsidR="00615435" w:rsidRPr="001E5744">
        <w:rPr>
          <w:rFonts w:ascii="Times New Roman" w:hAnsi="Times New Roman" w:cs="Times New Roman"/>
          <w:color w:val="000000"/>
        </w:rPr>
        <w:t xml:space="preserve">. It also </w:t>
      </w:r>
      <w:r w:rsidR="004A4711" w:rsidRPr="001E5744">
        <w:rPr>
          <w:rFonts w:ascii="Times New Roman" w:hAnsi="Times New Roman" w:cs="Times New Roman"/>
          <w:color w:val="000000"/>
        </w:rPr>
        <w:t xml:space="preserve">provides opportunities to </w:t>
      </w:r>
      <w:r w:rsidR="0016394B" w:rsidRPr="001E5744">
        <w:rPr>
          <w:rFonts w:ascii="Times New Roman" w:hAnsi="Times New Roman" w:cs="Times New Roman"/>
          <w:color w:val="000000"/>
        </w:rPr>
        <w:t>create meaningful experiences and fosters a sense of agency</w:t>
      </w:r>
      <w:r w:rsidR="004A4711" w:rsidRPr="001E5744">
        <w:rPr>
          <w:rFonts w:ascii="Times New Roman" w:hAnsi="Times New Roman" w:cs="Times New Roman"/>
          <w:color w:val="000000"/>
        </w:rPr>
        <w:t xml:space="preserve"> </w:t>
      </w:r>
      <w:r w:rsidR="0016394B" w:rsidRPr="001E5744">
        <w:rPr>
          <w:rFonts w:ascii="Times New Roman" w:hAnsi="Times New Roman" w:cs="Times New Roman"/>
          <w:color w:val="000000"/>
        </w:rPr>
        <w:t xml:space="preserve">and empowerment.  </w:t>
      </w:r>
    </w:p>
    <w:p w14:paraId="59D40EFB" w14:textId="0B0EAC43" w:rsidR="00087DCE" w:rsidRDefault="00087DCE" w:rsidP="00F07A58">
      <w:pPr>
        <w:spacing w:after="100" w:afterAutospacing="1" w:line="360" w:lineRule="auto"/>
        <w:rPr>
          <w:rFonts w:ascii="Times New Roman" w:hAnsi="Times New Roman" w:cs="Times New Roman"/>
        </w:rPr>
      </w:pPr>
    </w:p>
    <w:p w14:paraId="26B5A32A" w14:textId="77777777" w:rsidR="00A81632" w:rsidRDefault="00A81632" w:rsidP="00F07A58">
      <w:pPr>
        <w:spacing w:after="100" w:afterAutospacing="1" w:line="360" w:lineRule="auto"/>
        <w:rPr>
          <w:rFonts w:ascii="Times New Roman" w:hAnsi="Times New Roman" w:cs="Times New Roman"/>
        </w:rPr>
      </w:pPr>
    </w:p>
    <w:p w14:paraId="767EF9DC" w14:textId="77777777" w:rsidR="00A81632" w:rsidRDefault="00A81632" w:rsidP="00F07A58">
      <w:pPr>
        <w:spacing w:after="100" w:afterAutospacing="1" w:line="360" w:lineRule="auto"/>
        <w:rPr>
          <w:rFonts w:ascii="Times New Roman" w:hAnsi="Times New Roman" w:cs="Times New Roman"/>
        </w:rPr>
      </w:pPr>
    </w:p>
    <w:p w14:paraId="5AD0A52B" w14:textId="77777777" w:rsidR="00A81632" w:rsidRDefault="00A81632" w:rsidP="00F07A58">
      <w:pPr>
        <w:spacing w:after="100" w:afterAutospacing="1" w:line="360" w:lineRule="auto"/>
        <w:rPr>
          <w:rFonts w:ascii="Times New Roman" w:hAnsi="Times New Roman" w:cs="Times New Roman"/>
        </w:rPr>
      </w:pPr>
    </w:p>
    <w:p w14:paraId="42DC644B" w14:textId="77777777" w:rsidR="00A81632" w:rsidRDefault="00A81632" w:rsidP="00F07A58">
      <w:pPr>
        <w:spacing w:after="100" w:afterAutospacing="1" w:line="360" w:lineRule="auto"/>
        <w:rPr>
          <w:rFonts w:ascii="Times New Roman" w:hAnsi="Times New Roman" w:cs="Times New Roman"/>
        </w:rPr>
      </w:pPr>
    </w:p>
    <w:p w14:paraId="374BB1B8" w14:textId="77777777" w:rsidR="00A81632" w:rsidRDefault="00A81632" w:rsidP="00F07A58">
      <w:pPr>
        <w:spacing w:after="100" w:afterAutospacing="1" w:line="360" w:lineRule="auto"/>
        <w:rPr>
          <w:rFonts w:ascii="Times New Roman" w:hAnsi="Times New Roman" w:cs="Times New Roman"/>
        </w:rPr>
      </w:pPr>
    </w:p>
    <w:p w14:paraId="52F68BE2" w14:textId="77777777" w:rsidR="00A81632" w:rsidRDefault="00A81632" w:rsidP="00F07A58">
      <w:pPr>
        <w:spacing w:after="100" w:afterAutospacing="1" w:line="360" w:lineRule="auto"/>
        <w:rPr>
          <w:rFonts w:ascii="Times New Roman" w:hAnsi="Times New Roman" w:cs="Times New Roman"/>
        </w:rPr>
      </w:pPr>
    </w:p>
    <w:p w14:paraId="4B4B61C5" w14:textId="77777777" w:rsidR="00A81632" w:rsidRDefault="00A81632" w:rsidP="00F07A58">
      <w:pPr>
        <w:spacing w:after="100" w:afterAutospacing="1" w:line="360" w:lineRule="auto"/>
        <w:rPr>
          <w:rFonts w:ascii="Times New Roman" w:hAnsi="Times New Roman" w:cs="Times New Roman"/>
        </w:rPr>
      </w:pPr>
    </w:p>
    <w:p w14:paraId="0BBE91E6" w14:textId="77777777" w:rsidR="00A81632" w:rsidRDefault="00A81632" w:rsidP="00F07A58">
      <w:pPr>
        <w:spacing w:after="100" w:afterAutospacing="1" w:line="360" w:lineRule="auto"/>
        <w:rPr>
          <w:rFonts w:ascii="Times New Roman" w:hAnsi="Times New Roman" w:cs="Times New Roman"/>
        </w:rPr>
      </w:pPr>
    </w:p>
    <w:p w14:paraId="137C0560" w14:textId="77777777" w:rsidR="00A81632" w:rsidRDefault="00A81632" w:rsidP="00F07A58">
      <w:pPr>
        <w:spacing w:after="100" w:afterAutospacing="1" w:line="360" w:lineRule="auto"/>
        <w:rPr>
          <w:rFonts w:ascii="Times New Roman" w:hAnsi="Times New Roman" w:cs="Times New Roman"/>
        </w:rPr>
      </w:pPr>
    </w:p>
    <w:p w14:paraId="11F565F9" w14:textId="77777777" w:rsidR="00A81632" w:rsidRDefault="00A81632" w:rsidP="00F07A58">
      <w:pPr>
        <w:spacing w:after="100" w:afterAutospacing="1" w:line="360" w:lineRule="auto"/>
        <w:rPr>
          <w:rFonts w:ascii="Times New Roman" w:hAnsi="Times New Roman" w:cs="Times New Roman"/>
        </w:rPr>
      </w:pPr>
    </w:p>
    <w:p w14:paraId="07C24070" w14:textId="77777777" w:rsidR="00A81632" w:rsidRDefault="00A81632" w:rsidP="00F07A58">
      <w:pPr>
        <w:spacing w:after="100" w:afterAutospacing="1" w:line="360" w:lineRule="auto"/>
        <w:rPr>
          <w:rFonts w:ascii="Times New Roman" w:hAnsi="Times New Roman" w:cs="Times New Roman"/>
        </w:rPr>
      </w:pPr>
    </w:p>
    <w:p w14:paraId="13E1A0DC" w14:textId="77777777" w:rsidR="00A81632" w:rsidRDefault="00A81632" w:rsidP="00F07A58">
      <w:pPr>
        <w:spacing w:after="100" w:afterAutospacing="1" w:line="360" w:lineRule="auto"/>
        <w:rPr>
          <w:rFonts w:ascii="Times New Roman" w:hAnsi="Times New Roman" w:cs="Times New Roman"/>
        </w:rPr>
      </w:pPr>
    </w:p>
    <w:p w14:paraId="043ACF16" w14:textId="77777777" w:rsidR="00A81632" w:rsidRDefault="00A81632" w:rsidP="00F07A58">
      <w:pPr>
        <w:spacing w:after="100" w:afterAutospacing="1" w:line="360" w:lineRule="auto"/>
        <w:rPr>
          <w:rFonts w:ascii="Times New Roman" w:hAnsi="Times New Roman" w:cs="Times New Roman"/>
        </w:rPr>
      </w:pPr>
    </w:p>
    <w:p w14:paraId="7D0A3FCC" w14:textId="77777777" w:rsidR="00A81632" w:rsidRDefault="00A81632" w:rsidP="00F07A58">
      <w:pPr>
        <w:spacing w:after="100" w:afterAutospacing="1" w:line="360" w:lineRule="auto"/>
        <w:rPr>
          <w:rFonts w:ascii="Times New Roman" w:hAnsi="Times New Roman" w:cs="Times New Roman"/>
        </w:rPr>
      </w:pPr>
    </w:p>
    <w:p w14:paraId="28F1F326" w14:textId="77777777" w:rsidR="00A81632" w:rsidRDefault="00A81632" w:rsidP="00F07A58">
      <w:pPr>
        <w:spacing w:after="100" w:afterAutospacing="1" w:line="360" w:lineRule="auto"/>
        <w:rPr>
          <w:rFonts w:ascii="Times New Roman" w:hAnsi="Times New Roman" w:cs="Times New Roman"/>
        </w:rPr>
      </w:pPr>
    </w:p>
    <w:p w14:paraId="75D942BE" w14:textId="77777777" w:rsidR="00A81632" w:rsidRDefault="00A81632" w:rsidP="00F07A58">
      <w:pPr>
        <w:spacing w:after="100" w:afterAutospacing="1" w:line="360" w:lineRule="auto"/>
        <w:rPr>
          <w:rFonts w:ascii="Times New Roman" w:hAnsi="Times New Roman" w:cs="Times New Roman"/>
        </w:rPr>
      </w:pPr>
    </w:p>
    <w:p w14:paraId="040F8F80" w14:textId="77777777" w:rsidR="00A81632" w:rsidRPr="001E5744" w:rsidRDefault="00A81632" w:rsidP="00F07A58">
      <w:pPr>
        <w:spacing w:after="100" w:afterAutospacing="1" w:line="360" w:lineRule="auto"/>
        <w:rPr>
          <w:rFonts w:ascii="Times New Roman" w:hAnsi="Times New Roman" w:cs="Times New Roman"/>
        </w:rPr>
      </w:pPr>
    </w:p>
    <w:p w14:paraId="65F5FCC9" w14:textId="77777777" w:rsidR="006E273A" w:rsidRPr="001E5744" w:rsidRDefault="006E273A" w:rsidP="001B248D">
      <w:pPr>
        <w:spacing w:line="360" w:lineRule="auto"/>
        <w:rPr>
          <w:rFonts w:ascii="Times New Roman" w:hAnsi="Times New Roman" w:cs="Times New Roman"/>
        </w:rPr>
      </w:pPr>
    </w:p>
    <w:p w14:paraId="0CE85BCA" w14:textId="6F796580" w:rsidR="001B248D" w:rsidRPr="001E5744" w:rsidRDefault="00A64F6A" w:rsidP="001E5744">
      <w:pPr>
        <w:spacing w:before="180" w:after="180" w:line="360" w:lineRule="auto"/>
        <w:rPr>
          <w:rFonts w:ascii="Times New Roman" w:hAnsi="Times New Roman" w:cs="Times New Roman"/>
          <w:b/>
          <w:bCs/>
          <w:color w:val="C00000"/>
          <w:sz w:val="28"/>
          <w:szCs w:val="28"/>
        </w:rPr>
      </w:pPr>
      <w:r w:rsidRPr="001E5744">
        <w:rPr>
          <w:rFonts w:ascii="Times New Roman" w:hAnsi="Times New Roman" w:cs="Times New Roman"/>
          <w:b/>
          <w:bCs/>
          <w:color w:val="C00000"/>
          <w:sz w:val="28"/>
          <w:szCs w:val="28"/>
        </w:rPr>
        <w:lastRenderedPageBreak/>
        <w:t>Reference List</w:t>
      </w:r>
    </w:p>
    <w:p w14:paraId="3D4F0C20" w14:textId="7A71D713" w:rsidR="00C51176" w:rsidRPr="001E5744" w:rsidRDefault="00C51176" w:rsidP="004657F1">
      <w:pPr>
        <w:spacing w:before="240" w:after="240" w:line="360" w:lineRule="auto"/>
        <w:ind w:left="709" w:hanging="709"/>
        <w:contextualSpacing/>
        <w:rPr>
          <w:rFonts w:ascii="Times New Roman" w:hAnsi="Times New Roman" w:cs="Times New Roman"/>
          <w:bCs/>
          <w:lang w:val="en-GB"/>
        </w:rPr>
      </w:pPr>
      <w:bookmarkStart w:id="0" w:name="_Hlk136326145"/>
      <w:r w:rsidRPr="001E5744">
        <w:rPr>
          <w:rFonts w:ascii="Times New Roman" w:hAnsi="Times New Roman" w:cs="Times New Roman"/>
          <w:bCs/>
          <w:lang w:val="en-GB"/>
        </w:rPr>
        <w:t xml:space="preserve">Arruda, E. H., &amp; </w:t>
      </w:r>
      <w:proofErr w:type="spellStart"/>
      <w:r w:rsidRPr="001E5744">
        <w:rPr>
          <w:rFonts w:ascii="Times New Roman" w:hAnsi="Times New Roman" w:cs="Times New Roman"/>
          <w:bCs/>
          <w:lang w:val="en-GB"/>
        </w:rPr>
        <w:t>Paun</w:t>
      </w:r>
      <w:bookmarkEnd w:id="0"/>
      <w:proofErr w:type="spellEnd"/>
      <w:r w:rsidRPr="001E5744">
        <w:rPr>
          <w:rFonts w:ascii="Times New Roman" w:hAnsi="Times New Roman" w:cs="Times New Roman"/>
          <w:bCs/>
          <w:lang w:val="en-GB"/>
        </w:rPr>
        <w:t xml:space="preserve">, O. (2017). Dementia caregiver grief and bereavement: An integrative review, </w:t>
      </w:r>
      <w:r w:rsidRPr="001E5744">
        <w:rPr>
          <w:rFonts w:ascii="Times New Roman" w:hAnsi="Times New Roman" w:cs="Times New Roman"/>
          <w:bCs/>
          <w:i/>
          <w:iCs/>
          <w:lang w:val="en-GB"/>
        </w:rPr>
        <w:t>Western Journal of Nursing Research</w:t>
      </w:r>
      <w:r w:rsidRPr="001E5744">
        <w:rPr>
          <w:rFonts w:ascii="Times New Roman" w:hAnsi="Times New Roman" w:cs="Times New Roman"/>
          <w:bCs/>
          <w:lang w:val="en-GB"/>
        </w:rPr>
        <w:t xml:space="preserve">, </w:t>
      </w:r>
      <w:r w:rsidRPr="001E5744">
        <w:rPr>
          <w:rFonts w:ascii="Times New Roman" w:hAnsi="Times New Roman" w:cs="Times New Roman"/>
          <w:bCs/>
          <w:i/>
          <w:iCs/>
          <w:lang w:val="en-GB"/>
        </w:rPr>
        <w:t>39</w:t>
      </w:r>
      <w:r w:rsidRPr="001E5744">
        <w:rPr>
          <w:rFonts w:ascii="Times New Roman" w:hAnsi="Times New Roman" w:cs="Times New Roman"/>
          <w:bCs/>
          <w:lang w:val="en-GB"/>
        </w:rPr>
        <w:t>, 825–851.</w:t>
      </w:r>
    </w:p>
    <w:p w14:paraId="05471185" w14:textId="0D6DE9A0" w:rsidR="002C32BE" w:rsidRPr="001E5744" w:rsidRDefault="002C32BE" w:rsidP="004657F1">
      <w:pPr>
        <w:spacing w:before="240" w:after="240" w:line="360" w:lineRule="auto"/>
        <w:ind w:left="709" w:hanging="709"/>
        <w:contextualSpacing/>
        <w:rPr>
          <w:rFonts w:ascii="Times New Roman" w:hAnsi="Times New Roman" w:cs="Times New Roman"/>
          <w:bCs/>
          <w:lang w:val="en-GB"/>
        </w:rPr>
      </w:pPr>
      <w:r w:rsidRPr="001E5744">
        <w:rPr>
          <w:rFonts w:ascii="Times New Roman" w:hAnsi="Times New Roman" w:cs="Times New Roman"/>
          <w:bCs/>
          <w:lang w:val="en-GB"/>
        </w:rPr>
        <w:t xml:space="preserve">Bastos, J.L., </w:t>
      </w:r>
      <w:proofErr w:type="spellStart"/>
      <w:r w:rsidRPr="001E5744">
        <w:rPr>
          <w:rFonts w:ascii="Times New Roman" w:hAnsi="Times New Roman" w:cs="Times New Roman"/>
          <w:bCs/>
          <w:lang w:val="en-GB"/>
        </w:rPr>
        <w:t>Harnois</w:t>
      </w:r>
      <w:proofErr w:type="spellEnd"/>
      <w:r w:rsidRPr="001E5744">
        <w:rPr>
          <w:rFonts w:ascii="Times New Roman" w:hAnsi="Times New Roman" w:cs="Times New Roman"/>
          <w:bCs/>
          <w:lang w:val="en-GB"/>
        </w:rPr>
        <w:t xml:space="preserve">, C.E., &amp; </w:t>
      </w:r>
      <w:proofErr w:type="spellStart"/>
      <w:r w:rsidRPr="001E5744">
        <w:rPr>
          <w:rFonts w:ascii="Times New Roman" w:hAnsi="Times New Roman" w:cs="Times New Roman"/>
          <w:bCs/>
          <w:lang w:val="en-GB"/>
        </w:rPr>
        <w:t>Paradies</w:t>
      </w:r>
      <w:proofErr w:type="spellEnd"/>
      <w:r w:rsidRPr="001E5744">
        <w:rPr>
          <w:rFonts w:ascii="Times New Roman" w:hAnsi="Times New Roman" w:cs="Times New Roman"/>
          <w:bCs/>
          <w:lang w:val="en-GB"/>
        </w:rPr>
        <w:t>, Y.C. (2018). Health care barriers, racism, and intersectionality in Australia</w:t>
      </w:r>
      <w:r w:rsidR="009260EF" w:rsidRPr="001E5744">
        <w:rPr>
          <w:rFonts w:ascii="Times New Roman" w:hAnsi="Times New Roman" w:cs="Times New Roman"/>
          <w:bCs/>
          <w:lang w:val="en-GB"/>
        </w:rPr>
        <w:t xml:space="preserve">, </w:t>
      </w:r>
      <w:r w:rsidRPr="001E5744">
        <w:rPr>
          <w:rFonts w:ascii="Times New Roman" w:hAnsi="Times New Roman" w:cs="Times New Roman"/>
          <w:bCs/>
          <w:i/>
          <w:iCs/>
          <w:lang w:val="en-GB"/>
        </w:rPr>
        <w:t>Social Science &amp; Medicine (1982),</w:t>
      </w:r>
      <w:r w:rsidRPr="001E5744">
        <w:rPr>
          <w:rFonts w:ascii="Times New Roman" w:hAnsi="Times New Roman" w:cs="Times New Roman"/>
          <w:bCs/>
          <w:lang w:val="en-GB"/>
        </w:rPr>
        <w:t xml:space="preserve"> </w:t>
      </w:r>
      <w:r w:rsidRPr="001E5744">
        <w:rPr>
          <w:rFonts w:ascii="Times New Roman" w:hAnsi="Times New Roman" w:cs="Times New Roman"/>
          <w:bCs/>
          <w:i/>
          <w:iCs/>
          <w:lang w:val="en-GB"/>
        </w:rPr>
        <w:t>199</w:t>
      </w:r>
      <w:r w:rsidRPr="001E5744">
        <w:rPr>
          <w:rFonts w:ascii="Times New Roman" w:hAnsi="Times New Roman" w:cs="Times New Roman"/>
          <w:bCs/>
          <w:lang w:val="en-GB"/>
        </w:rPr>
        <w:t xml:space="preserve">, 209–218. </w:t>
      </w:r>
      <w:hyperlink r:id="rId7" w:history="1">
        <w:r w:rsidR="009260EF" w:rsidRPr="001E5744">
          <w:rPr>
            <w:rStyle w:val="Hyperlink"/>
            <w:rFonts w:ascii="Times New Roman" w:hAnsi="Times New Roman" w:cs="Times New Roman"/>
            <w:bCs/>
            <w:lang w:val="en-GB"/>
          </w:rPr>
          <w:t>https://doi.org/10.1016/j.socscimed.2017.05.010</w:t>
        </w:r>
      </w:hyperlink>
      <w:r w:rsidR="009260EF" w:rsidRPr="001E5744">
        <w:rPr>
          <w:rFonts w:ascii="Times New Roman" w:hAnsi="Times New Roman" w:cs="Times New Roman"/>
          <w:bCs/>
          <w:lang w:val="en-GB"/>
        </w:rPr>
        <w:t xml:space="preserve"> </w:t>
      </w:r>
    </w:p>
    <w:p w14:paraId="5C9B0570" w14:textId="719EF6E0" w:rsidR="00A64F6A" w:rsidRPr="001E5744" w:rsidRDefault="00A64F6A" w:rsidP="004657F1">
      <w:pPr>
        <w:spacing w:before="240" w:after="240" w:line="360" w:lineRule="auto"/>
        <w:ind w:left="709" w:hanging="709"/>
        <w:contextualSpacing/>
        <w:rPr>
          <w:rFonts w:ascii="Times New Roman" w:hAnsi="Times New Roman" w:cs="Times New Roman"/>
          <w:bCs/>
          <w:lang w:val="en-GB"/>
        </w:rPr>
      </w:pPr>
      <w:proofErr w:type="spellStart"/>
      <w:r w:rsidRPr="001E5744">
        <w:rPr>
          <w:rFonts w:ascii="Times New Roman" w:hAnsi="Times New Roman" w:cs="Times New Roman"/>
          <w:bCs/>
          <w:lang w:val="en-GB"/>
        </w:rPr>
        <w:t>Boughtwood</w:t>
      </w:r>
      <w:proofErr w:type="spellEnd"/>
      <w:r w:rsidRPr="001E5744">
        <w:rPr>
          <w:rFonts w:ascii="Times New Roman" w:hAnsi="Times New Roman" w:cs="Times New Roman"/>
          <w:bCs/>
          <w:lang w:val="en-GB"/>
        </w:rPr>
        <w:t xml:space="preserve">, D.L., Adams, J., Shanley, C., </w:t>
      </w:r>
      <w:proofErr w:type="spellStart"/>
      <w:r w:rsidRPr="001E5744">
        <w:rPr>
          <w:rFonts w:ascii="Times New Roman" w:hAnsi="Times New Roman" w:cs="Times New Roman"/>
          <w:bCs/>
          <w:lang w:val="en-GB"/>
        </w:rPr>
        <w:t>Santalucia</w:t>
      </w:r>
      <w:proofErr w:type="spellEnd"/>
      <w:r w:rsidRPr="001E5744">
        <w:rPr>
          <w:rFonts w:ascii="Times New Roman" w:hAnsi="Times New Roman" w:cs="Times New Roman"/>
          <w:bCs/>
          <w:lang w:val="en-GB"/>
        </w:rPr>
        <w:t xml:space="preserve">, Y., &amp; </w:t>
      </w:r>
      <w:proofErr w:type="spellStart"/>
      <w:r w:rsidRPr="001E5744">
        <w:rPr>
          <w:rFonts w:ascii="Times New Roman" w:hAnsi="Times New Roman" w:cs="Times New Roman"/>
          <w:bCs/>
          <w:lang w:val="en-GB"/>
        </w:rPr>
        <w:t>Kyriazopoulos</w:t>
      </w:r>
      <w:proofErr w:type="spellEnd"/>
      <w:r w:rsidRPr="001E5744">
        <w:rPr>
          <w:rFonts w:ascii="Times New Roman" w:hAnsi="Times New Roman" w:cs="Times New Roman"/>
          <w:bCs/>
          <w:lang w:val="en-GB"/>
        </w:rPr>
        <w:t xml:space="preserve">, H. (2011). Experiences and </w:t>
      </w:r>
      <w:r w:rsidR="00DD4790" w:rsidRPr="001E5744">
        <w:rPr>
          <w:rFonts w:ascii="Times New Roman" w:hAnsi="Times New Roman" w:cs="Times New Roman"/>
          <w:bCs/>
          <w:lang w:val="en-GB"/>
        </w:rPr>
        <w:t>perceptions of culturally and linguistically diverse family carers of people with dementia</w:t>
      </w:r>
      <w:r w:rsidRPr="001E5744">
        <w:rPr>
          <w:rFonts w:ascii="Times New Roman" w:hAnsi="Times New Roman" w:cs="Times New Roman"/>
          <w:bCs/>
          <w:lang w:val="en-GB"/>
        </w:rPr>
        <w:t xml:space="preserve">, </w:t>
      </w:r>
      <w:r w:rsidRPr="001E5744">
        <w:rPr>
          <w:rFonts w:ascii="Times New Roman" w:hAnsi="Times New Roman" w:cs="Times New Roman"/>
          <w:bCs/>
          <w:i/>
          <w:iCs/>
          <w:lang w:val="en-GB"/>
        </w:rPr>
        <w:t>American Journal of Alzheimer’s Disease &amp; Other Dementias, 26</w:t>
      </w:r>
      <w:r w:rsidRPr="001E5744">
        <w:rPr>
          <w:rFonts w:ascii="Times New Roman" w:hAnsi="Times New Roman" w:cs="Times New Roman"/>
          <w:bCs/>
          <w:lang w:val="en-GB"/>
        </w:rPr>
        <w:t>(4)</w:t>
      </w:r>
      <w:r w:rsidR="00C51176" w:rsidRPr="001E5744">
        <w:rPr>
          <w:rFonts w:ascii="Times New Roman" w:hAnsi="Times New Roman" w:cs="Times New Roman"/>
          <w:bCs/>
          <w:lang w:val="en-GB"/>
        </w:rPr>
        <w:t>,</w:t>
      </w:r>
      <w:r w:rsidRPr="001E5744">
        <w:rPr>
          <w:rFonts w:ascii="Times New Roman" w:hAnsi="Times New Roman" w:cs="Times New Roman"/>
          <w:bCs/>
          <w:lang w:val="en-GB"/>
        </w:rPr>
        <w:t xml:space="preserve"> 290-297.</w:t>
      </w:r>
    </w:p>
    <w:p w14:paraId="420D690A" w14:textId="364F7C96" w:rsidR="00A64F6A" w:rsidRPr="001E5744" w:rsidRDefault="00A64F6A"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t xml:space="preserve">Caldwell, L., Low, L-F., &amp; </w:t>
      </w:r>
      <w:proofErr w:type="spellStart"/>
      <w:r w:rsidRPr="001E5744">
        <w:rPr>
          <w:rFonts w:ascii="Times New Roman" w:hAnsi="Times New Roman" w:cs="Times New Roman"/>
          <w:bCs/>
        </w:rPr>
        <w:t>Brodaty</w:t>
      </w:r>
      <w:proofErr w:type="spellEnd"/>
      <w:r w:rsidRPr="001E5744">
        <w:rPr>
          <w:rFonts w:ascii="Times New Roman" w:hAnsi="Times New Roman" w:cs="Times New Roman"/>
          <w:bCs/>
        </w:rPr>
        <w:t xml:space="preserve">, H. (2014). Caregivers’ experience of the decision-making process for placing a person with dementia into a nursing home: comparing caregivers from Chinese ethnic minority with those from English-speaking backgrounds. </w:t>
      </w:r>
      <w:r w:rsidRPr="001E5744">
        <w:rPr>
          <w:rFonts w:ascii="Times New Roman" w:hAnsi="Times New Roman" w:cs="Times New Roman"/>
          <w:bCs/>
          <w:i/>
          <w:iCs/>
        </w:rPr>
        <w:t>International Psychogeriatrics, 26</w:t>
      </w:r>
      <w:r w:rsidRPr="001E5744">
        <w:rPr>
          <w:rFonts w:ascii="Times New Roman" w:hAnsi="Times New Roman" w:cs="Times New Roman"/>
          <w:bCs/>
        </w:rPr>
        <w:t xml:space="preserve">(3), 413-424. </w:t>
      </w:r>
    </w:p>
    <w:p w14:paraId="21E55053" w14:textId="226B4476" w:rsidR="001B248D" w:rsidRPr="001E5744" w:rsidRDefault="00A64F6A" w:rsidP="004657F1">
      <w:pPr>
        <w:spacing w:before="240" w:after="240" w:line="360" w:lineRule="auto"/>
        <w:ind w:left="709" w:hanging="709"/>
        <w:contextualSpacing/>
        <w:jc w:val="both"/>
        <w:rPr>
          <w:rFonts w:ascii="Times New Roman" w:hAnsi="Times New Roman" w:cs="Times New Roman"/>
          <w:bCs/>
        </w:rPr>
      </w:pPr>
      <w:proofErr w:type="spellStart"/>
      <w:r w:rsidRPr="001E5744">
        <w:rPr>
          <w:rFonts w:ascii="Times New Roman" w:hAnsi="Times New Roman" w:cs="Times New Roman"/>
          <w:bCs/>
        </w:rPr>
        <w:t>Carpentier</w:t>
      </w:r>
      <w:proofErr w:type="spellEnd"/>
      <w:r w:rsidRPr="001E5744">
        <w:rPr>
          <w:rFonts w:ascii="Times New Roman" w:hAnsi="Times New Roman" w:cs="Times New Roman"/>
          <w:bCs/>
        </w:rPr>
        <w:t xml:space="preserve">, N., Bernard, P., </w:t>
      </w:r>
      <w:proofErr w:type="spellStart"/>
      <w:r w:rsidRPr="001E5744">
        <w:rPr>
          <w:rFonts w:ascii="Times New Roman" w:hAnsi="Times New Roman" w:cs="Times New Roman"/>
          <w:bCs/>
        </w:rPr>
        <w:t>Grenier</w:t>
      </w:r>
      <w:proofErr w:type="spellEnd"/>
      <w:r w:rsidRPr="001E5744">
        <w:rPr>
          <w:rFonts w:ascii="Times New Roman" w:hAnsi="Times New Roman" w:cs="Times New Roman"/>
          <w:bCs/>
        </w:rPr>
        <w:t xml:space="preserve">, A., &amp; </w:t>
      </w:r>
      <w:proofErr w:type="spellStart"/>
      <w:r w:rsidRPr="001E5744">
        <w:rPr>
          <w:rFonts w:ascii="Times New Roman" w:hAnsi="Times New Roman" w:cs="Times New Roman"/>
          <w:bCs/>
        </w:rPr>
        <w:t>Guberman</w:t>
      </w:r>
      <w:proofErr w:type="spellEnd"/>
      <w:r w:rsidRPr="001E5744">
        <w:rPr>
          <w:rFonts w:ascii="Times New Roman" w:hAnsi="Times New Roman" w:cs="Times New Roman"/>
          <w:bCs/>
        </w:rPr>
        <w:t xml:space="preserve">, N. (2010). Using the life course perspective to study the entry into the illness trajectory: The perspective of caregivers of people with Alzheimer's disease, </w:t>
      </w:r>
      <w:r w:rsidRPr="001E5744">
        <w:rPr>
          <w:rFonts w:ascii="Times New Roman" w:hAnsi="Times New Roman" w:cs="Times New Roman"/>
          <w:bCs/>
          <w:i/>
        </w:rPr>
        <w:t xml:space="preserve">Social Science &amp; Medicine, 70, </w:t>
      </w:r>
      <w:r w:rsidRPr="001E5744">
        <w:rPr>
          <w:rFonts w:ascii="Times New Roman" w:hAnsi="Times New Roman" w:cs="Times New Roman"/>
          <w:bCs/>
        </w:rPr>
        <w:t>1501-1508.</w:t>
      </w:r>
    </w:p>
    <w:p w14:paraId="65EE4C1C" w14:textId="07320C94" w:rsidR="00A64F6A" w:rsidRPr="001E5744" w:rsidRDefault="00A64F6A" w:rsidP="004657F1">
      <w:pPr>
        <w:spacing w:before="240" w:after="240" w:line="360" w:lineRule="auto"/>
        <w:ind w:left="709" w:hanging="709"/>
        <w:contextualSpacing/>
        <w:rPr>
          <w:rFonts w:ascii="Times New Roman" w:hAnsi="Times New Roman" w:cs="Times New Roman"/>
          <w:bCs/>
          <w:i/>
          <w:iCs/>
          <w:lang w:val="en-GB"/>
        </w:rPr>
      </w:pPr>
      <w:r w:rsidRPr="001E5744">
        <w:rPr>
          <w:rFonts w:ascii="Times New Roman" w:hAnsi="Times New Roman" w:cs="Times New Roman"/>
          <w:bCs/>
          <w:lang w:val="en-GB"/>
        </w:rPr>
        <w:t xml:space="preserve">Dementia Australia. (2022, July). </w:t>
      </w:r>
      <w:r w:rsidRPr="001E5744">
        <w:rPr>
          <w:rFonts w:ascii="Times New Roman" w:hAnsi="Times New Roman" w:cs="Times New Roman"/>
          <w:bCs/>
          <w:i/>
          <w:iCs/>
          <w:lang w:val="en-GB"/>
        </w:rPr>
        <w:t>Dementia</w:t>
      </w:r>
      <w:r w:rsidR="00331CA8" w:rsidRPr="001E5744">
        <w:rPr>
          <w:rFonts w:ascii="Times New Roman" w:hAnsi="Times New Roman" w:cs="Times New Roman"/>
          <w:bCs/>
          <w:i/>
          <w:iCs/>
          <w:lang w:val="en-GB"/>
        </w:rPr>
        <w:t xml:space="preserve"> </w:t>
      </w:r>
      <w:r w:rsidRPr="001E5744">
        <w:rPr>
          <w:rFonts w:ascii="Times New Roman" w:hAnsi="Times New Roman" w:cs="Times New Roman"/>
          <w:bCs/>
          <w:i/>
          <w:iCs/>
          <w:lang w:val="en-GB"/>
        </w:rPr>
        <w:t>statistics</w:t>
      </w:r>
      <w:r w:rsidR="00331CA8" w:rsidRPr="001E5744">
        <w:rPr>
          <w:rFonts w:ascii="Times New Roman" w:hAnsi="Times New Roman" w:cs="Times New Roman"/>
          <w:bCs/>
          <w:i/>
          <w:iCs/>
          <w:lang w:val="en-GB"/>
        </w:rPr>
        <w:t xml:space="preserve">, </w:t>
      </w:r>
      <w:hyperlink r:id="rId8" w:history="1">
        <w:r w:rsidR="00737EE4" w:rsidRPr="001E5744">
          <w:rPr>
            <w:rStyle w:val="Hyperlink"/>
            <w:rFonts w:ascii="Times New Roman" w:hAnsi="Times New Roman" w:cs="Times New Roman"/>
            <w:bCs/>
            <w:lang w:val="en-GB"/>
          </w:rPr>
          <w:t>https://www.dementia.org.au/statistics</w:t>
        </w:r>
      </w:hyperlink>
      <w:r w:rsidR="00737EE4" w:rsidRPr="001E5744">
        <w:rPr>
          <w:rFonts w:ascii="Times New Roman" w:hAnsi="Times New Roman" w:cs="Times New Roman"/>
          <w:bCs/>
          <w:lang w:val="en-GB"/>
        </w:rPr>
        <w:t xml:space="preserve"> </w:t>
      </w:r>
      <w:r w:rsidR="00737EE4" w:rsidRPr="001E5744">
        <w:rPr>
          <w:rStyle w:val="Hyperlink"/>
          <w:rFonts w:ascii="Times New Roman" w:hAnsi="Times New Roman" w:cs="Times New Roman"/>
          <w:bCs/>
          <w:color w:val="auto"/>
          <w:lang w:val="en-GB"/>
        </w:rPr>
        <w:t xml:space="preserve"> </w:t>
      </w:r>
      <w:r w:rsidRPr="001E5744">
        <w:rPr>
          <w:rFonts w:ascii="Times New Roman" w:hAnsi="Times New Roman" w:cs="Times New Roman"/>
          <w:bCs/>
          <w:lang w:val="en-GB"/>
        </w:rPr>
        <w:t xml:space="preserve"> </w:t>
      </w:r>
    </w:p>
    <w:p w14:paraId="0A1CE955" w14:textId="0D3E918A" w:rsidR="006A1CE0" w:rsidRPr="001E5744" w:rsidRDefault="00A64F6A" w:rsidP="004657F1">
      <w:pPr>
        <w:spacing w:before="240" w:after="240" w:line="360" w:lineRule="auto"/>
        <w:ind w:left="709" w:hanging="709"/>
        <w:contextualSpacing/>
        <w:rPr>
          <w:rFonts w:ascii="Times New Roman" w:hAnsi="Times New Roman" w:cs="Times New Roman"/>
          <w:bCs/>
          <w:lang w:val="en-GB"/>
        </w:rPr>
      </w:pPr>
      <w:r w:rsidRPr="001E5744">
        <w:rPr>
          <w:rFonts w:ascii="Times New Roman" w:hAnsi="Times New Roman" w:cs="Times New Roman"/>
          <w:bCs/>
          <w:lang w:val="en-GB"/>
        </w:rPr>
        <w:t xml:space="preserve">Dementia Australia. (n.d.). </w:t>
      </w:r>
      <w:r w:rsidRPr="001E5744">
        <w:rPr>
          <w:rFonts w:ascii="Times New Roman" w:hAnsi="Times New Roman" w:cs="Times New Roman"/>
          <w:bCs/>
          <w:i/>
          <w:iCs/>
          <w:lang w:val="en-GB"/>
        </w:rPr>
        <w:t xml:space="preserve">What is </w:t>
      </w:r>
      <w:proofErr w:type="gramStart"/>
      <w:r w:rsidRPr="001E5744">
        <w:rPr>
          <w:rFonts w:ascii="Times New Roman" w:hAnsi="Times New Roman" w:cs="Times New Roman"/>
          <w:bCs/>
          <w:i/>
          <w:iCs/>
          <w:lang w:val="en-GB"/>
        </w:rPr>
        <w:t>dementia?.</w:t>
      </w:r>
      <w:proofErr w:type="gramEnd"/>
      <w:r w:rsidRPr="001E5744">
        <w:rPr>
          <w:rFonts w:ascii="Times New Roman" w:hAnsi="Times New Roman" w:cs="Times New Roman"/>
          <w:bCs/>
          <w:i/>
          <w:iCs/>
          <w:lang w:val="en-GB"/>
        </w:rPr>
        <w:t xml:space="preserve"> </w:t>
      </w:r>
      <w:hyperlink r:id="rId9" w:history="1">
        <w:r w:rsidR="00737EE4" w:rsidRPr="001E5744">
          <w:rPr>
            <w:rStyle w:val="Hyperlink"/>
            <w:rFonts w:ascii="Times New Roman" w:hAnsi="Times New Roman" w:cs="Times New Roman"/>
            <w:bCs/>
            <w:lang w:val="en-GB"/>
          </w:rPr>
          <w:t>https://www.dementia.org.au/about-dementia/what-is-dementia</w:t>
        </w:r>
      </w:hyperlink>
      <w:r w:rsidR="00737EE4" w:rsidRPr="001E5744">
        <w:rPr>
          <w:rStyle w:val="Hyperlink"/>
          <w:rFonts w:ascii="Times New Roman" w:hAnsi="Times New Roman" w:cs="Times New Roman"/>
          <w:bCs/>
          <w:color w:val="auto"/>
          <w:lang w:val="en-GB"/>
        </w:rPr>
        <w:t xml:space="preserve"> </w:t>
      </w:r>
    </w:p>
    <w:p w14:paraId="12302192" w14:textId="77777777" w:rsidR="006A1CE0" w:rsidRPr="001E5744" w:rsidRDefault="006A1CE0"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t xml:space="preserve">Duffy, F. (2017). A Social work perspective on how ageist language, discourses and understandings negatively frame older people and why taking a critical social work stance is essential, </w:t>
      </w:r>
      <w:r w:rsidRPr="001E5744">
        <w:rPr>
          <w:rFonts w:ascii="Times New Roman" w:hAnsi="Times New Roman" w:cs="Times New Roman"/>
          <w:bCs/>
          <w:i/>
          <w:iCs/>
        </w:rPr>
        <w:t xml:space="preserve">British Journal of Social Work, 47, </w:t>
      </w:r>
      <w:r w:rsidRPr="001E5744">
        <w:rPr>
          <w:rFonts w:ascii="Times New Roman" w:hAnsi="Times New Roman" w:cs="Times New Roman"/>
          <w:bCs/>
        </w:rPr>
        <w:t xml:space="preserve">2068-2085. </w:t>
      </w:r>
    </w:p>
    <w:p w14:paraId="46CD917B" w14:textId="06B82E05" w:rsidR="00A64F6A" w:rsidRPr="001E5744" w:rsidRDefault="00A64F6A" w:rsidP="004657F1">
      <w:pPr>
        <w:spacing w:before="240" w:after="240" w:line="360" w:lineRule="auto"/>
        <w:ind w:left="709" w:hanging="709"/>
        <w:contextualSpacing/>
        <w:rPr>
          <w:rFonts w:ascii="Times New Roman" w:hAnsi="Times New Roman" w:cs="Times New Roman"/>
          <w:bCs/>
          <w:lang w:val="en-GB"/>
        </w:rPr>
      </w:pPr>
      <w:r w:rsidRPr="001E5744">
        <w:rPr>
          <w:rFonts w:ascii="Times New Roman" w:hAnsi="Times New Roman" w:cs="Times New Roman"/>
          <w:bCs/>
          <w:lang w:val="en-GB"/>
        </w:rPr>
        <w:t xml:space="preserve">Dupuis, S. (2002). </w:t>
      </w:r>
      <w:r w:rsidRPr="001E5744">
        <w:rPr>
          <w:rFonts w:ascii="Times New Roman" w:hAnsi="Times New Roman" w:cs="Times New Roman"/>
        </w:rPr>
        <w:t xml:space="preserve">Understanding </w:t>
      </w:r>
      <w:r w:rsidR="00DD4790" w:rsidRPr="001E5744">
        <w:rPr>
          <w:rFonts w:ascii="Times New Roman" w:hAnsi="Times New Roman" w:cs="Times New Roman"/>
        </w:rPr>
        <w:t>ambiguous loss in the context of dementia care</w:t>
      </w:r>
      <w:r w:rsidRPr="001E5744">
        <w:rPr>
          <w:rFonts w:ascii="Times New Roman" w:hAnsi="Times New Roman" w:cs="Times New Roman"/>
        </w:rPr>
        <w:t xml:space="preserve">. </w:t>
      </w:r>
      <w:r w:rsidRPr="001E5744">
        <w:rPr>
          <w:rFonts w:ascii="Times New Roman" w:hAnsi="Times New Roman" w:cs="Times New Roman"/>
          <w:i/>
          <w:iCs/>
        </w:rPr>
        <w:t>Journal of Gerontological Social Work, 37</w:t>
      </w:r>
      <w:r w:rsidRPr="001E5744">
        <w:rPr>
          <w:rFonts w:ascii="Times New Roman" w:hAnsi="Times New Roman" w:cs="Times New Roman"/>
        </w:rPr>
        <w:t xml:space="preserve">(2). 93-115. </w:t>
      </w:r>
      <w:hyperlink r:id="rId10" w:history="1">
        <w:r w:rsidR="00737EE4" w:rsidRPr="001E5744">
          <w:rPr>
            <w:rStyle w:val="Hyperlink"/>
            <w:rFonts w:ascii="Times New Roman" w:hAnsi="Times New Roman" w:cs="Times New Roman"/>
          </w:rPr>
          <w:t>https://doi.org/10.1300/J083v37n02_08</w:t>
        </w:r>
      </w:hyperlink>
      <w:r w:rsidR="00737EE4" w:rsidRPr="001E5744">
        <w:rPr>
          <w:rFonts w:ascii="Times New Roman" w:hAnsi="Times New Roman" w:cs="Times New Roman"/>
        </w:rPr>
        <w:t xml:space="preserve">  </w:t>
      </w:r>
      <w:r w:rsidR="00737EE4" w:rsidRPr="001E5744">
        <w:rPr>
          <w:rStyle w:val="Hyperlink"/>
          <w:rFonts w:ascii="Times New Roman" w:hAnsi="Times New Roman" w:cs="Times New Roman"/>
          <w:color w:val="auto"/>
        </w:rPr>
        <w:t xml:space="preserve"> </w:t>
      </w:r>
      <w:r w:rsidRPr="001E5744">
        <w:rPr>
          <w:rFonts w:ascii="Times New Roman" w:hAnsi="Times New Roman" w:cs="Times New Roman"/>
        </w:rPr>
        <w:t xml:space="preserve"> </w:t>
      </w:r>
    </w:p>
    <w:p w14:paraId="70062572" w14:textId="7157CF63" w:rsidR="00A64F6A" w:rsidRPr="001E5744" w:rsidRDefault="00A64F6A"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t xml:space="preserve">Fitzpatrick, K., &amp; Grace, M. (2019) Dementia </w:t>
      </w:r>
      <w:r w:rsidR="00DD4790" w:rsidRPr="001E5744">
        <w:rPr>
          <w:rFonts w:ascii="Times New Roman" w:hAnsi="Times New Roman" w:cs="Times New Roman"/>
          <w:bCs/>
        </w:rPr>
        <w:t xml:space="preserve">patients’ transition to residential aged care: </w:t>
      </w:r>
      <w:proofErr w:type="gramStart"/>
      <w:r w:rsidR="00DD4790" w:rsidRPr="001E5744">
        <w:rPr>
          <w:rFonts w:ascii="Times New Roman" w:hAnsi="Times New Roman" w:cs="Times New Roman"/>
          <w:bCs/>
        </w:rPr>
        <w:t>carers’</w:t>
      </w:r>
      <w:proofErr w:type="gramEnd"/>
      <w:r w:rsidR="00DD4790" w:rsidRPr="001E5744">
        <w:rPr>
          <w:rFonts w:ascii="Times New Roman" w:hAnsi="Times New Roman" w:cs="Times New Roman"/>
          <w:bCs/>
        </w:rPr>
        <w:t xml:space="preserve"> and social workers’ experiences</w:t>
      </w:r>
      <w:r w:rsidRPr="001E5744">
        <w:rPr>
          <w:rFonts w:ascii="Times New Roman" w:hAnsi="Times New Roman" w:cs="Times New Roman"/>
          <w:bCs/>
        </w:rPr>
        <w:t xml:space="preserve">, </w:t>
      </w:r>
      <w:r w:rsidRPr="001E5744">
        <w:rPr>
          <w:rFonts w:ascii="Times New Roman" w:hAnsi="Times New Roman" w:cs="Times New Roman"/>
          <w:bCs/>
          <w:i/>
        </w:rPr>
        <w:t>Australian Social Work, 72</w:t>
      </w:r>
      <w:r w:rsidRPr="001E5744">
        <w:rPr>
          <w:rFonts w:ascii="Times New Roman" w:hAnsi="Times New Roman" w:cs="Times New Roman"/>
          <w:bCs/>
        </w:rPr>
        <w:t xml:space="preserve">(3), 287-298. </w:t>
      </w:r>
      <w:hyperlink r:id="rId11" w:history="1">
        <w:r w:rsidR="00737EE4" w:rsidRPr="001E5744">
          <w:rPr>
            <w:rStyle w:val="Hyperlink"/>
            <w:rFonts w:ascii="Times New Roman" w:hAnsi="Times New Roman" w:cs="Times New Roman"/>
            <w:bCs/>
          </w:rPr>
          <w:t>https://doi.org/10.1080/0312407X.2018.1536155</w:t>
        </w:r>
      </w:hyperlink>
      <w:r w:rsidR="00737EE4" w:rsidRPr="001E5744">
        <w:rPr>
          <w:rStyle w:val="Hyperlink"/>
          <w:rFonts w:ascii="Times New Roman" w:hAnsi="Times New Roman" w:cs="Times New Roman"/>
          <w:bCs/>
          <w:color w:val="auto"/>
        </w:rPr>
        <w:t xml:space="preserve"> </w:t>
      </w:r>
      <w:r w:rsidRPr="001E5744">
        <w:rPr>
          <w:rFonts w:ascii="Times New Roman" w:hAnsi="Times New Roman" w:cs="Times New Roman"/>
          <w:bCs/>
        </w:rPr>
        <w:t xml:space="preserve">   </w:t>
      </w:r>
    </w:p>
    <w:p w14:paraId="206CB6E9" w14:textId="7FFEBF0D" w:rsidR="00FF652E" w:rsidRPr="001E5744" w:rsidRDefault="00A64F6A"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t xml:space="preserve">Gilbert, A.S., </w:t>
      </w:r>
      <w:proofErr w:type="spellStart"/>
      <w:r w:rsidRPr="001E5744">
        <w:rPr>
          <w:rFonts w:ascii="Times New Roman" w:hAnsi="Times New Roman" w:cs="Times New Roman"/>
          <w:bCs/>
        </w:rPr>
        <w:t>Antoniades</w:t>
      </w:r>
      <w:proofErr w:type="spellEnd"/>
      <w:r w:rsidRPr="001E5744">
        <w:rPr>
          <w:rFonts w:ascii="Times New Roman" w:hAnsi="Times New Roman" w:cs="Times New Roman"/>
          <w:bCs/>
        </w:rPr>
        <w:t xml:space="preserve">, J., </w:t>
      </w:r>
      <w:proofErr w:type="spellStart"/>
      <w:r w:rsidRPr="001E5744">
        <w:rPr>
          <w:rFonts w:ascii="Times New Roman" w:hAnsi="Times New Roman" w:cs="Times New Roman"/>
          <w:bCs/>
        </w:rPr>
        <w:t>Croy</w:t>
      </w:r>
      <w:proofErr w:type="spellEnd"/>
      <w:r w:rsidRPr="001E5744">
        <w:rPr>
          <w:rFonts w:ascii="Times New Roman" w:hAnsi="Times New Roman" w:cs="Times New Roman"/>
          <w:bCs/>
        </w:rPr>
        <w:t xml:space="preserve">, S., </w:t>
      </w:r>
      <w:proofErr w:type="spellStart"/>
      <w:r w:rsidRPr="001E5744">
        <w:rPr>
          <w:rFonts w:ascii="Times New Roman" w:hAnsi="Times New Roman" w:cs="Times New Roman"/>
          <w:bCs/>
        </w:rPr>
        <w:t>Thodis</w:t>
      </w:r>
      <w:proofErr w:type="spellEnd"/>
      <w:r w:rsidRPr="001E5744">
        <w:rPr>
          <w:rFonts w:ascii="Times New Roman" w:hAnsi="Times New Roman" w:cs="Times New Roman"/>
          <w:bCs/>
        </w:rPr>
        <w:t xml:space="preserve">, A., Adams, J., </w:t>
      </w:r>
      <w:proofErr w:type="spellStart"/>
      <w:r w:rsidRPr="001E5744">
        <w:rPr>
          <w:rFonts w:ascii="Times New Roman" w:hAnsi="Times New Roman" w:cs="Times New Roman"/>
          <w:bCs/>
        </w:rPr>
        <w:t>Goeman</w:t>
      </w:r>
      <w:proofErr w:type="spellEnd"/>
      <w:r w:rsidRPr="001E5744">
        <w:rPr>
          <w:rFonts w:ascii="Times New Roman" w:hAnsi="Times New Roman" w:cs="Times New Roman"/>
          <w:bCs/>
        </w:rPr>
        <w:t xml:space="preserve">, D., Browning, C., Kent, M., Ellis, K., &amp; </w:t>
      </w:r>
      <w:proofErr w:type="spellStart"/>
      <w:r w:rsidRPr="001E5744">
        <w:rPr>
          <w:rFonts w:ascii="Times New Roman" w:hAnsi="Times New Roman" w:cs="Times New Roman"/>
          <w:bCs/>
        </w:rPr>
        <w:t>Brijnath</w:t>
      </w:r>
      <w:proofErr w:type="spellEnd"/>
      <w:r w:rsidRPr="001E5744">
        <w:rPr>
          <w:rFonts w:ascii="Times New Roman" w:hAnsi="Times New Roman" w:cs="Times New Roman"/>
          <w:bCs/>
        </w:rPr>
        <w:t xml:space="preserve">, B. (2022). The experience of structural burden for culturally and linguistically diverse family carers of people living with dementia in Australia, </w:t>
      </w:r>
      <w:r w:rsidRPr="001E5744">
        <w:rPr>
          <w:rFonts w:ascii="Times New Roman" w:hAnsi="Times New Roman" w:cs="Times New Roman"/>
          <w:bCs/>
          <w:i/>
        </w:rPr>
        <w:t xml:space="preserve">Health and Social Care in the Community, </w:t>
      </w:r>
      <w:r w:rsidRPr="001E5744">
        <w:rPr>
          <w:rFonts w:ascii="Times New Roman" w:hAnsi="Times New Roman" w:cs="Times New Roman"/>
          <w:bCs/>
        </w:rPr>
        <w:t xml:space="preserve">1-12. </w:t>
      </w:r>
    </w:p>
    <w:p w14:paraId="71DBB14A" w14:textId="6AF446F0" w:rsidR="00FF652E" w:rsidRPr="001E5744" w:rsidRDefault="00FF652E"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lastRenderedPageBreak/>
        <w:t xml:space="preserve">Gillies, B. (2011). Continuity and loss: The carer’s journey through dementia, </w:t>
      </w:r>
      <w:r w:rsidRPr="001E5744">
        <w:rPr>
          <w:rFonts w:ascii="Times New Roman" w:hAnsi="Times New Roman" w:cs="Times New Roman"/>
          <w:bCs/>
          <w:i/>
          <w:iCs/>
        </w:rPr>
        <w:t>Dementia, 11</w:t>
      </w:r>
      <w:r w:rsidRPr="001E5744">
        <w:rPr>
          <w:rFonts w:ascii="Times New Roman" w:hAnsi="Times New Roman" w:cs="Times New Roman"/>
          <w:bCs/>
        </w:rPr>
        <w:t>(5), 657-676.</w:t>
      </w:r>
    </w:p>
    <w:p w14:paraId="1EBF17C2" w14:textId="1B730FCF" w:rsidR="00A64F6A" w:rsidRPr="001E5744" w:rsidRDefault="00A64F6A" w:rsidP="004657F1">
      <w:pPr>
        <w:spacing w:before="240" w:after="240" w:line="360" w:lineRule="auto"/>
        <w:ind w:left="709" w:hanging="709"/>
        <w:contextualSpacing/>
        <w:rPr>
          <w:rFonts w:ascii="Times New Roman" w:hAnsi="Times New Roman" w:cs="Times New Roman"/>
          <w:bCs/>
          <w:lang w:val="en-GB"/>
        </w:rPr>
      </w:pPr>
      <w:r w:rsidRPr="001E5744">
        <w:rPr>
          <w:rFonts w:ascii="Times New Roman" w:hAnsi="Times New Roman" w:cs="Times New Roman"/>
          <w:bCs/>
          <w:lang w:val="en-GB"/>
        </w:rPr>
        <w:t xml:space="preserve">Henderson J., &amp; Willis, E. (2020). The Marketisation of Aged Care: The Impact of Aged Care Reform in Australia. In Collyer, F, &amp; Willis, K (Eds), </w:t>
      </w:r>
      <w:r w:rsidRPr="001E5744">
        <w:rPr>
          <w:rFonts w:ascii="Times New Roman" w:hAnsi="Times New Roman" w:cs="Times New Roman"/>
          <w:bCs/>
          <w:i/>
          <w:iCs/>
          <w:lang w:val="en-GB"/>
        </w:rPr>
        <w:t xml:space="preserve">Navigating Private and Public Healthcare. </w:t>
      </w:r>
      <w:r w:rsidRPr="001E5744">
        <w:rPr>
          <w:rFonts w:ascii="Times New Roman" w:hAnsi="Times New Roman" w:cs="Times New Roman"/>
          <w:bCs/>
          <w:lang w:val="en-GB"/>
        </w:rPr>
        <w:t xml:space="preserve">Palgrave Macmillan (pp. 249-267). </w:t>
      </w:r>
      <w:hyperlink r:id="rId12" w:history="1">
        <w:r w:rsidR="00737EE4" w:rsidRPr="001E5744">
          <w:rPr>
            <w:rStyle w:val="Hyperlink"/>
            <w:rFonts w:ascii="Times New Roman" w:hAnsi="Times New Roman" w:cs="Times New Roman"/>
            <w:bCs/>
            <w:lang w:val="en-GB"/>
          </w:rPr>
          <w:t>https://doi.org/10.1007/978-981-32-9208-6_12</w:t>
        </w:r>
      </w:hyperlink>
      <w:r w:rsidRPr="001E5744">
        <w:rPr>
          <w:rFonts w:ascii="Times New Roman" w:hAnsi="Times New Roman" w:cs="Times New Roman"/>
          <w:bCs/>
          <w:lang w:val="en-GB"/>
        </w:rPr>
        <w:t xml:space="preserve"> </w:t>
      </w:r>
    </w:p>
    <w:p w14:paraId="110CBADF" w14:textId="48EF22C5" w:rsidR="00A64F6A" w:rsidRPr="001E5744" w:rsidRDefault="00A64F6A"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t xml:space="preserve">Hutchison, E.D. (2019). An </w:t>
      </w:r>
      <w:r w:rsidR="00DD4790" w:rsidRPr="001E5744">
        <w:rPr>
          <w:rFonts w:ascii="Times New Roman" w:hAnsi="Times New Roman" w:cs="Times New Roman"/>
          <w:bCs/>
        </w:rPr>
        <w:t>update on the relevance of the life course perspective for social work</w:t>
      </w:r>
      <w:r w:rsidRPr="001E5744">
        <w:rPr>
          <w:rFonts w:ascii="Times New Roman" w:hAnsi="Times New Roman" w:cs="Times New Roman"/>
          <w:bCs/>
        </w:rPr>
        <w:t xml:space="preserve">, </w:t>
      </w:r>
      <w:r w:rsidRPr="001E5744">
        <w:rPr>
          <w:rFonts w:ascii="Times New Roman" w:hAnsi="Times New Roman" w:cs="Times New Roman"/>
          <w:bCs/>
          <w:i/>
        </w:rPr>
        <w:t>Families in Society: The Journal of Contemporary Social Services, 100</w:t>
      </w:r>
      <w:r w:rsidRPr="001E5744">
        <w:rPr>
          <w:rFonts w:ascii="Times New Roman" w:hAnsi="Times New Roman" w:cs="Times New Roman"/>
          <w:bCs/>
        </w:rPr>
        <w:t>(4), 351-366.</w:t>
      </w:r>
    </w:p>
    <w:p w14:paraId="0ADCC532" w14:textId="76865BF2" w:rsidR="002C32BE" w:rsidRPr="001E5744" w:rsidRDefault="002C32BE"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t xml:space="preserve">Koehn, S., </w:t>
      </w:r>
      <w:proofErr w:type="spellStart"/>
      <w:r w:rsidRPr="001E5744">
        <w:rPr>
          <w:rFonts w:ascii="Times New Roman" w:hAnsi="Times New Roman" w:cs="Times New Roman"/>
          <w:bCs/>
        </w:rPr>
        <w:t>Neysmith</w:t>
      </w:r>
      <w:proofErr w:type="spellEnd"/>
      <w:r w:rsidRPr="001E5744">
        <w:rPr>
          <w:rFonts w:ascii="Times New Roman" w:hAnsi="Times New Roman" w:cs="Times New Roman"/>
          <w:bCs/>
        </w:rPr>
        <w:t xml:space="preserve">, S., Kobayashi, K., &amp; </w:t>
      </w:r>
      <w:proofErr w:type="spellStart"/>
      <w:r w:rsidRPr="001E5744">
        <w:rPr>
          <w:rFonts w:ascii="Times New Roman" w:hAnsi="Times New Roman" w:cs="Times New Roman"/>
          <w:bCs/>
        </w:rPr>
        <w:t>Khamisa</w:t>
      </w:r>
      <w:proofErr w:type="spellEnd"/>
      <w:r w:rsidRPr="001E5744">
        <w:rPr>
          <w:rFonts w:ascii="Times New Roman" w:hAnsi="Times New Roman" w:cs="Times New Roman"/>
          <w:bCs/>
        </w:rPr>
        <w:t xml:space="preserve">, H. (2013). Revealing the shape of knowledge using an intersectionality lens: results of a scoping review on the health and health care of ethnocultural minority older adults, </w:t>
      </w:r>
      <w:r w:rsidRPr="001E5744">
        <w:rPr>
          <w:rFonts w:ascii="Times New Roman" w:hAnsi="Times New Roman" w:cs="Times New Roman"/>
          <w:bCs/>
          <w:i/>
          <w:iCs/>
        </w:rPr>
        <w:t>Ageing and Society</w:t>
      </w:r>
      <w:r w:rsidRPr="001E5744">
        <w:rPr>
          <w:rFonts w:ascii="Times New Roman" w:hAnsi="Times New Roman" w:cs="Times New Roman"/>
          <w:bCs/>
        </w:rPr>
        <w:t xml:space="preserve">, </w:t>
      </w:r>
      <w:r w:rsidRPr="001E5744">
        <w:rPr>
          <w:rFonts w:ascii="Times New Roman" w:hAnsi="Times New Roman" w:cs="Times New Roman"/>
          <w:bCs/>
          <w:i/>
          <w:iCs/>
        </w:rPr>
        <w:t>33</w:t>
      </w:r>
      <w:r w:rsidRPr="001E5744">
        <w:rPr>
          <w:rFonts w:ascii="Times New Roman" w:hAnsi="Times New Roman" w:cs="Times New Roman"/>
          <w:bCs/>
        </w:rPr>
        <w:t xml:space="preserve">(3), 437–464. </w:t>
      </w:r>
      <w:hyperlink r:id="rId13" w:history="1">
        <w:r w:rsidRPr="001E5744">
          <w:rPr>
            <w:rStyle w:val="Hyperlink"/>
            <w:rFonts w:ascii="Times New Roman" w:hAnsi="Times New Roman" w:cs="Times New Roman"/>
            <w:bCs/>
          </w:rPr>
          <w:t>https://doi.org/10.1017/S0144686X12000013</w:t>
        </w:r>
      </w:hyperlink>
      <w:r w:rsidRPr="001E5744">
        <w:rPr>
          <w:rFonts w:ascii="Times New Roman" w:hAnsi="Times New Roman" w:cs="Times New Roman"/>
          <w:bCs/>
        </w:rPr>
        <w:t xml:space="preserve"> </w:t>
      </w:r>
    </w:p>
    <w:p w14:paraId="62EF0E35" w14:textId="771EFD59" w:rsidR="00A64F6A" w:rsidRPr="001E5744" w:rsidRDefault="00A64F6A" w:rsidP="004657F1">
      <w:pPr>
        <w:spacing w:before="240" w:after="240" w:line="360" w:lineRule="auto"/>
        <w:ind w:left="709" w:hanging="709"/>
        <w:contextualSpacing/>
        <w:rPr>
          <w:rFonts w:ascii="Times New Roman" w:hAnsi="Times New Roman" w:cs="Times New Roman"/>
          <w:bCs/>
          <w:lang w:val="en-GB"/>
        </w:rPr>
      </w:pPr>
      <w:r w:rsidRPr="001E5744">
        <w:rPr>
          <w:rFonts w:ascii="Times New Roman" w:hAnsi="Times New Roman" w:cs="Times New Roman"/>
          <w:bCs/>
          <w:lang w:val="en-GB"/>
        </w:rPr>
        <w:t xml:space="preserve">Macdonald, G., &amp; Mears, J. (2019). </w:t>
      </w:r>
      <w:r w:rsidRPr="001E5744">
        <w:rPr>
          <w:rFonts w:ascii="Times New Roman" w:hAnsi="Times New Roman" w:cs="Times New Roman"/>
          <w:bCs/>
          <w:i/>
          <w:iCs/>
          <w:lang w:val="en-GB"/>
        </w:rPr>
        <w:t>Dementia As Social Experience</w:t>
      </w:r>
      <w:r w:rsidRPr="001E5744">
        <w:rPr>
          <w:rFonts w:ascii="Times New Roman" w:hAnsi="Times New Roman" w:cs="Times New Roman"/>
          <w:bCs/>
          <w:lang w:val="en-GB"/>
        </w:rPr>
        <w:t xml:space="preserve">. Routledge. </w:t>
      </w:r>
    </w:p>
    <w:p w14:paraId="286E5D5D" w14:textId="7AEA242F" w:rsidR="00A64F6A" w:rsidRPr="001E5744" w:rsidRDefault="00A64F6A"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t xml:space="preserve">McGovern, J. (2015). Living </w:t>
      </w:r>
      <w:r w:rsidR="00DD4790" w:rsidRPr="001E5744">
        <w:rPr>
          <w:rFonts w:ascii="Times New Roman" w:hAnsi="Times New Roman" w:cs="Times New Roman"/>
          <w:bCs/>
        </w:rPr>
        <w:t>better with dementia: strengths-based social work practice and dementia care</w:t>
      </w:r>
      <w:r w:rsidRPr="001E5744">
        <w:rPr>
          <w:rFonts w:ascii="Times New Roman" w:hAnsi="Times New Roman" w:cs="Times New Roman"/>
          <w:bCs/>
        </w:rPr>
        <w:t xml:space="preserve">, </w:t>
      </w:r>
      <w:r w:rsidRPr="001E5744">
        <w:rPr>
          <w:rFonts w:ascii="Times New Roman" w:hAnsi="Times New Roman" w:cs="Times New Roman"/>
          <w:bCs/>
          <w:i/>
        </w:rPr>
        <w:t xml:space="preserve">Social Work in Health Care, 54, </w:t>
      </w:r>
      <w:r w:rsidRPr="001E5744">
        <w:rPr>
          <w:rFonts w:ascii="Times New Roman" w:hAnsi="Times New Roman" w:cs="Times New Roman"/>
          <w:bCs/>
        </w:rPr>
        <w:t>408-421.</w:t>
      </w:r>
    </w:p>
    <w:p w14:paraId="04B632F9" w14:textId="037B0BCD" w:rsidR="00A64F6A" w:rsidRPr="001E5744" w:rsidRDefault="00A64F6A" w:rsidP="004657F1">
      <w:pPr>
        <w:spacing w:before="240" w:after="240" w:line="360" w:lineRule="auto"/>
        <w:ind w:left="709" w:hanging="709"/>
        <w:contextualSpacing/>
        <w:jc w:val="both"/>
        <w:rPr>
          <w:rFonts w:ascii="Times New Roman" w:hAnsi="Times New Roman" w:cs="Times New Roman"/>
          <w:bCs/>
          <w:i/>
        </w:rPr>
      </w:pPr>
      <w:r w:rsidRPr="001E5744">
        <w:rPr>
          <w:rFonts w:ascii="Times New Roman" w:hAnsi="Times New Roman" w:cs="Times New Roman"/>
          <w:bCs/>
        </w:rPr>
        <w:t xml:space="preserve">Nathanson, A., &amp; Rogers, M. (2021). When </w:t>
      </w:r>
      <w:r w:rsidR="00DD4790" w:rsidRPr="001E5744">
        <w:rPr>
          <w:rFonts w:ascii="Times New Roman" w:hAnsi="Times New Roman" w:cs="Times New Roman"/>
          <w:bCs/>
        </w:rPr>
        <w:t>ambiguous loss becomes ambiguous grief: clinical work with bereaved dementia caregivers</w:t>
      </w:r>
      <w:r w:rsidRPr="001E5744">
        <w:rPr>
          <w:rFonts w:ascii="Times New Roman" w:hAnsi="Times New Roman" w:cs="Times New Roman"/>
          <w:bCs/>
        </w:rPr>
        <w:t xml:space="preserve">, </w:t>
      </w:r>
      <w:r w:rsidRPr="001E5744">
        <w:rPr>
          <w:rFonts w:ascii="Times New Roman" w:hAnsi="Times New Roman" w:cs="Times New Roman"/>
          <w:bCs/>
          <w:i/>
        </w:rPr>
        <w:t>Health &amp; Social Work, 2021, 45</w:t>
      </w:r>
      <w:r w:rsidRPr="001E5744">
        <w:rPr>
          <w:rFonts w:ascii="Times New Roman" w:hAnsi="Times New Roman" w:cs="Times New Roman"/>
          <w:bCs/>
        </w:rPr>
        <w:t>(4), 268-275.</w:t>
      </w:r>
      <w:r w:rsidRPr="001E5744">
        <w:rPr>
          <w:rFonts w:ascii="Times New Roman" w:hAnsi="Times New Roman" w:cs="Times New Roman"/>
          <w:bCs/>
          <w:i/>
        </w:rPr>
        <w:t xml:space="preserve"> </w:t>
      </w:r>
    </w:p>
    <w:p w14:paraId="6B9CE8D0" w14:textId="22805A2B" w:rsidR="00A64F6A" w:rsidRPr="001E5744" w:rsidRDefault="00A64F6A"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t xml:space="preserve">Phillips, R. (2018). Emancipatory social work with older people: challenging students to overcome the limitations of ageism and institutional oppression, </w:t>
      </w:r>
      <w:r w:rsidRPr="001E5744">
        <w:rPr>
          <w:rFonts w:ascii="Times New Roman" w:hAnsi="Times New Roman" w:cs="Times New Roman"/>
          <w:bCs/>
          <w:i/>
        </w:rPr>
        <w:t>Critical Engagements in Aging and Care, 1</w:t>
      </w:r>
      <w:r w:rsidRPr="001E5744">
        <w:rPr>
          <w:rFonts w:ascii="Times New Roman" w:hAnsi="Times New Roman" w:cs="Times New Roman"/>
          <w:bCs/>
        </w:rPr>
        <w:t xml:space="preserve">(001), 1-23. </w:t>
      </w:r>
    </w:p>
    <w:p w14:paraId="765F9488" w14:textId="3C5E4229" w:rsidR="00A64F6A" w:rsidRPr="001E5744" w:rsidRDefault="00A64F6A" w:rsidP="004657F1">
      <w:pPr>
        <w:spacing w:before="240" w:after="240" w:line="360" w:lineRule="auto"/>
        <w:ind w:left="709" w:hanging="709"/>
        <w:contextualSpacing/>
        <w:rPr>
          <w:rFonts w:ascii="Times New Roman" w:hAnsi="Times New Roman" w:cs="Times New Roman"/>
          <w:bCs/>
          <w:lang w:val="en-GB"/>
        </w:rPr>
      </w:pPr>
      <w:r w:rsidRPr="001E5744">
        <w:rPr>
          <w:rFonts w:ascii="Times New Roman" w:hAnsi="Times New Roman" w:cs="Times New Roman"/>
          <w:bCs/>
          <w:lang w:val="en-GB"/>
        </w:rPr>
        <w:t xml:space="preserve">Royal Commission into Aged Care Quality and Safety [Aged Care Royal Commission] (2019). </w:t>
      </w:r>
      <w:r w:rsidRPr="001E5744">
        <w:rPr>
          <w:rFonts w:ascii="Times New Roman" w:hAnsi="Times New Roman" w:cs="Times New Roman"/>
          <w:bCs/>
          <w:i/>
          <w:iCs/>
          <w:lang w:val="en-GB"/>
        </w:rPr>
        <w:t>Interim Report: Neglect</w:t>
      </w:r>
      <w:r w:rsidRPr="001E5744">
        <w:rPr>
          <w:rFonts w:ascii="Times New Roman" w:hAnsi="Times New Roman" w:cs="Times New Roman"/>
          <w:bCs/>
          <w:lang w:val="en-GB"/>
        </w:rPr>
        <w:t xml:space="preserve">. </w:t>
      </w:r>
      <w:hyperlink r:id="rId14" w:history="1">
        <w:r w:rsidR="00737EE4" w:rsidRPr="001E5744">
          <w:rPr>
            <w:rStyle w:val="Hyperlink"/>
            <w:rFonts w:ascii="Times New Roman" w:hAnsi="Times New Roman" w:cs="Times New Roman"/>
            <w:bCs/>
            <w:lang w:val="en-GB"/>
          </w:rPr>
          <w:t>https://agedcare.royalcommission.gov.au/sites/default/files/2020-02/interim-report-volume-1.pdf</w:t>
        </w:r>
      </w:hyperlink>
      <w:r w:rsidRPr="001E5744">
        <w:rPr>
          <w:rFonts w:ascii="Times New Roman" w:hAnsi="Times New Roman" w:cs="Times New Roman"/>
          <w:bCs/>
          <w:lang w:val="en-GB"/>
        </w:rPr>
        <w:t xml:space="preserve"> </w:t>
      </w:r>
    </w:p>
    <w:p w14:paraId="54D4C7A1" w14:textId="22A23637" w:rsidR="00A64F6A" w:rsidRPr="001E5744" w:rsidRDefault="00A64F6A" w:rsidP="004657F1">
      <w:pPr>
        <w:spacing w:before="240" w:after="240" w:line="360" w:lineRule="auto"/>
        <w:ind w:left="709" w:hanging="709"/>
        <w:contextualSpacing/>
        <w:rPr>
          <w:rFonts w:ascii="Times New Roman" w:hAnsi="Times New Roman" w:cs="Times New Roman"/>
          <w:bCs/>
          <w:lang w:val="en-GB"/>
        </w:rPr>
      </w:pPr>
      <w:r w:rsidRPr="001E5744">
        <w:rPr>
          <w:rFonts w:ascii="Times New Roman" w:hAnsi="Times New Roman" w:cs="Times New Roman"/>
          <w:bCs/>
          <w:lang w:val="en-GB"/>
        </w:rPr>
        <w:t xml:space="preserve">Royal Commission into Aged Care Quality and Safety [Aged Care Royal Commission] (2021). </w:t>
      </w:r>
      <w:r w:rsidRPr="001E5744">
        <w:rPr>
          <w:rFonts w:ascii="Times New Roman" w:hAnsi="Times New Roman" w:cs="Times New Roman"/>
          <w:bCs/>
          <w:i/>
          <w:iCs/>
          <w:lang w:val="en-GB"/>
        </w:rPr>
        <w:t xml:space="preserve">Final Report – Executive Summary. </w:t>
      </w:r>
      <w:hyperlink r:id="rId15" w:history="1">
        <w:r w:rsidR="00737EE4" w:rsidRPr="001E5744">
          <w:rPr>
            <w:rStyle w:val="Hyperlink"/>
            <w:rFonts w:ascii="Times New Roman" w:hAnsi="Times New Roman" w:cs="Times New Roman"/>
            <w:bCs/>
            <w:lang w:val="en-GB"/>
          </w:rPr>
          <w:t>https://agedcare.royalcommission.gov.au/publications/final-report-executive-summary</w:t>
        </w:r>
      </w:hyperlink>
    </w:p>
    <w:p w14:paraId="210C88C4" w14:textId="310FDAEB" w:rsidR="00A64F6A" w:rsidRPr="001E5744" w:rsidRDefault="00A64F6A"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t xml:space="preserve">Shanley, C., </w:t>
      </w:r>
      <w:proofErr w:type="spellStart"/>
      <w:r w:rsidRPr="001E5744">
        <w:rPr>
          <w:rFonts w:ascii="Times New Roman" w:hAnsi="Times New Roman" w:cs="Times New Roman"/>
          <w:bCs/>
        </w:rPr>
        <w:t>Boughtwood</w:t>
      </w:r>
      <w:proofErr w:type="spellEnd"/>
      <w:r w:rsidRPr="001E5744">
        <w:rPr>
          <w:rFonts w:ascii="Times New Roman" w:hAnsi="Times New Roman" w:cs="Times New Roman"/>
          <w:bCs/>
        </w:rPr>
        <w:t xml:space="preserve">, D., Adams, J., </w:t>
      </w:r>
      <w:proofErr w:type="spellStart"/>
      <w:r w:rsidRPr="001E5744">
        <w:rPr>
          <w:rFonts w:ascii="Times New Roman" w:hAnsi="Times New Roman" w:cs="Times New Roman"/>
          <w:bCs/>
        </w:rPr>
        <w:t>Santalucia</w:t>
      </w:r>
      <w:proofErr w:type="spellEnd"/>
      <w:r w:rsidRPr="001E5744">
        <w:rPr>
          <w:rFonts w:ascii="Times New Roman" w:hAnsi="Times New Roman" w:cs="Times New Roman"/>
          <w:bCs/>
        </w:rPr>
        <w:t xml:space="preserve">, Y., </w:t>
      </w:r>
      <w:proofErr w:type="spellStart"/>
      <w:r w:rsidRPr="001E5744">
        <w:rPr>
          <w:rFonts w:ascii="Times New Roman" w:hAnsi="Times New Roman" w:cs="Times New Roman"/>
          <w:bCs/>
        </w:rPr>
        <w:t>Kyriazopoulos</w:t>
      </w:r>
      <w:proofErr w:type="spellEnd"/>
      <w:r w:rsidRPr="001E5744">
        <w:rPr>
          <w:rFonts w:ascii="Times New Roman" w:hAnsi="Times New Roman" w:cs="Times New Roman"/>
          <w:bCs/>
        </w:rPr>
        <w:t xml:space="preserve">, H., Pond, D., &amp; Rowland, J. (2012). A qualitative study into the use of formal services for dementia by carers from culturally and linguistically diverse (CALD) communities, </w:t>
      </w:r>
      <w:r w:rsidRPr="001E5744">
        <w:rPr>
          <w:rFonts w:ascii="Times New Roman" w:hAnsi="Times New Roman" w:cs="Times New Roman"/>
          <w:bCs/>
          <w:i/>
        </w:rPr>
        <w:t xml:space="preserve">BMC Health Services Research, 12 </w:t>
      </w:r>
      <w:r w:rsidRPr="001E5744">
        <w:rPr>
          <w:rFonts w:ascii="Times New Roman" w:hAnsi="Times New Roman" w:cs="Times New Roman"/>
          <w:bCs/>
        </w:rPr>
        <w:t>(1)</w:t>
      </w:r>
      <w:r w:rsidRPr="001E5744">
        <w:rPr>
          <w:rFonts w:ascii="Times New Roman" w:hAnsi="Times New Roman" w:cs="Times New Roman"/>
          <w:bCs/>
          <w:i/>
        </w:rPr>
        <w:t xml:space="preserve">, </w:t>
      </w:r>
      <w:r w:rsidRPr="001E5744">
        <w:rPr>
          <w:rFonts w:ascii="Times New Roman" w:hAnsi="Times New Roman" w:cs="Times New Roman"/>
          <w:bCs/>
        </w:rPr>
        <w:t xml:space="preserve">1-11. </w:t>
      </w:r>
      <w:r w:rsidRPr="001E5744">
        <w:rPr>
          <w:rFonts w:ascii="Times New Roman" w:hAnsi="Times New Roman" w:cs="Times New Roman"/>
          <w:bCs/>
          <w:i/>
        </w:rPr>
        <w:t xml:space="preserve"> </w:t>
      </w:r>
    </w:p>
    <w:p w14:paraId="3144A792" w14:textId="5EF85EF1" w:rsidR="00015DCF" w:rsidRPr="001E5744" w:rsidRDefault="00A64F6A" w:rsidP="004657F1">
      <w:pPr>
        <w:spacing w:before="240" w:after="240" w:line="360" w:lineRule="auto"/>
        <w:ind w:left="709" w:hanging="709"/>
        <w:contextualSpacing/>
        <w:jc w:val="both"/>
        <w:rPr>
          <w:rFonts w:ascii="Times New Roman" w:hAnsi="Times New Roman" w:cs="Times New Roman"/>
          <w:bCs/>
        </w:rPr>
      </w:pPr>
      <w:r w:rsidRPr="001E5744">
        <w:rPr>
          <w:rFonts w:ascii="Times New Roman" w:hAnsi="Times New Roman" w:cs="Times New Roman"/>
          <w:bCs/>
        </w:rPr>
        <w:lastRenderedPageBreak/>
        <w:t xml:space="preserve">Tipping, S. A., &amp; Whiteside, M. (2015). Language </w:t>
      </w:r>
      <w:r w:rsidR="00DD4790" w:rsidRPr="001E5744">
        <w:rPr>
          <w:rFonts w:ascii="Times New Roman" w:hAnsi="Times New Roman" w:cs="Times New Roman"/>
          <w:bCs/>
        </w:rPr>
        <w:t>reversion among people with dementia from culturally and linguistically diverse backgrounds: the family experience</w:t>
      </w:r>
      <w:r w:rsidRPr="001E5744">
        <w:rPr>
          <w:rFonts w:ascii="Times New Roman" w:hAnsi="Times New Roman" w:cs="Times New Roman"/>
          <w:bCs/>
        </w:rPr>
        <w:t>,</w:t>
      </w:r>
      <w:r w:rsidR="00331CA8" w:rsidRPr="001E5744">
        <w:rPr>
          <w:rFonts w:ascii="Times New Roman" w:hAnsi="Times New Roman" w:cs="Times New Roman"/>
          <w:bCs/>
        </w:rPr>
        <w:t xml:space="preserve"> </w:t>
      </w:r>
      <w:r w:rsidRPr="001E5744">
        <w:rPr>
          <w:rFonts w:ascii="Times New Roman" w:hAnsi="Times New Roman" w:cs="Times New Roman"/>
          <w:bCs/>
          <w:i/>
        </w:rPr>
        <w:t>Australian Social Work,</w:t>
      </w:r>
      <w:r w:rsidR="00331CA8" w:rsidRPr="001E5744">
        <w:rPr>
          <w:rFonts w:ascii="Times New Roman" w:hAnsi="Times New Roman" w:cs="Times New Roman"/>
          <w:bCs/>
          <w:i/>
        </w:rPr>
        <w:t xml:space="preserve"> </w:t>
      </w:r>
      <w:r w:rsidRPr="001E5744">
        <w:rPr>
          <w:rFonts w:ascii="Times New Roman" w:hAnsi="Times New Roman" w:cs="Times New Roman"/>
          <w:bCs/>
          <w:i/>
        </w:rPr>
        <w:t>68</w:t>
      </w:r>
      <w:r w:rsidRPr="001E5744">
        <w:rPr>
          <w:rFonts w:ascii="Times New Roman" w:hAnsi="Times New Roman" w:cs="Times New Roman"/>
          <w:bCs/>
        </w:rPr>
        <w:t xml:space="preserve">(2), 184-197, </w:t>
      </w:r>
      <w:hyperlink r:id="rId16" w:history="1">
        <w:r w:rsidR="00994B35" w:rsidRPr="001E5744">
          <w:rPr>
            <w:rStyle w:val="Hyperlink"/>
            <w:rFonts w:ascii="Times New Roman" w:hAnsi="Times New Roman" w:cs="Times New Roman"/>
            <w:bCs/>
          </w:rPr>
          <w:t>https://doi.org/10.1080/0312407X.2014.953187</w:t>
        </w:r>
      </w:hyperlink>
    </w:p>
    <w:p w14:paraId="0E2EBD11" w14:textId="77777777" w:rsidR="00A64F6A" w:rsidRPr="001E5744" w:rsidRDefault="00A64F6A" w:rsidP="004657F1">
      <w:pPr>
        <w:spacing w:before="240" w:after="240" w:line="360" w:lineRule="auto"/>
        <w:ind w:left="709" w:hanging="709"/>
        <w:rPr>
          <w:rFonts w:ascii="Times New Roman" w:hAnsi="Times New Roman" w:cs="Times New Roman"/>
        </w:rPr>
      </w:pPr>
    </w:p>
    <w:sectPr w:rsidR="00A64F6A" w:rsidRPr="001E5744">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686F" w14:textId="77777777" w:rsidR="00DF776C" w:rsidRDefault="00DF776C" w:rsidP="00CD14C6">
      <w:r>
        <w:separator/>
      </w:r>
    </w:p>
  </w:endnote>
  <w:endnote w:type="continuationSeparator" w:id="0">
    <w:p w14:paraId="3CDCDF79" w14:textId="77777777" w:rsidR="00DF776C" w:rsidRDefault="00DF776C" w:rsidP="00CD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6513310"/>
      <w:docPartObj>
        <w:docPartGallery w:val="Page Numbers (Bottom of Page)"/>
        <w:docPartUnique/>
      </w:docPartObj>
    </w:sdtPr>
    <w:sdtContent>
      <w:p w14:paraId="3FEA6D53" w14:textId="65363928" w:rsidR="00CD14C6" w:rsidRDefault="00CD14C6" w:rsidP="00787C6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A771B">
          <w:rPr>
            <w:rStyle w:val="PageNumber"/>
            <w:noProof/>
          </w:rPr>
          <w:t>1</w:t>
        </w:r>
        <w:r>
          <w:rPr>
            <w:rStyle w:val="PageNumber"/>
          </w:rPr>
          <w:fldChar w:fldCharType="end"/>
        </w:r>
      </w:p>
    </w:sdtContent>
  </w:sdt>
  <w:p w14:paraId="4B0CAA34" w14:textId="77777777" w:rsidR="00CD14C6" w:rsidRDefault="00CD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0"/>
        <w:szCs w:val="20"/>
      </w:rPr>
      <w:id w:val="1911730046"/>
      <w:docPartObj>
        <w:docPartGallery w:val="Page Numbers (Bottom of Page)"/>
        <w:docPartUnique/>
      </w:docPartObj>
    </w:sdtPr>
    <w:sdtContent>
      <w:p w14:paraId="0BC1C0FB" w14:textId="6D482C68" w:rsidR="00CD14C6" w:rsidRPr="00DA771B" w:rsidRDefault="00CD14C6" w:rsidP="00787C6F">
        <w:pPr>
          <w:pStyle w:val="Footer"/>
          <w:framePr w:wrap="none" w:vAnchor="text" w:hAnchor="margin" w:xAlign="center" w:y="1"/>
          <w:rPr>
            <w:rStyle w:val="PageNumber"/>
            <w:rFonts w:ascii="Times New Roman" w:hAnsi="Times New Roman" w:cs="Times New Roman"/>
            <w:sz w:val="20"/>
            <w:szCs w:val="20"/>
          </w:rPr>
        </w:pPr>
        <w:r w:rsidRPr="00DA771B">
          <w:rPr>
            <w:rStyle w:val="PageNumber"/>
            <w:rFonts w:ascii="Times New Roman" w:hAnsi="Times New Roman" w:cs="Times New Roman"/>
            <w:sz w:val="20"/>
            <w:szCs w:val="20"/>
          </w:rPr>
          <w:fldChar w:fldCharType="begin"/>
        </w:r>
        <w:r w:rsidRPr="00DA771B">
          <w:rPr>
            <w:rStyle w:val="PageNumber"/>
            <w:rFonts w:ascii="Times New Roman" w:hAnsi="Times New Roman" w:cs="Times New Roman"/>
            <w:sz w:val="20"/>
            <w:szCs w:val="20"/>
          </w:rPr>
          <w:instrText xml:space="preserve"> PAGE </w:instrText>
        </w:r>
        <w:r w:rsidRPr="00DA771B">
          <w:rPr>
            <w:rStyle w:val="PageNumber"/>
            <w:rFonts w:ascii="Times New Roman" w:hAnsi="Times New Roman" w:cs="Times New Roman"/>
            <w:sz w:val="20"/>
            <w:szCs w:val="20"/>
          </w:rPr>
          <w:fldChar w:fldCharType="separate"/>
        </w:r>
        <w:r w:rsidRPr="00DA771B">
          <w:rPr>
            <w:rStyle w:val="PageNumber"/>
            <w:rFonts w:ascii="Times New Roman" w:hAnsi="Times New Roman" w:cs="Times New Roman"/>
            <w:noProof/>
            <w:sz w:val="20"/>
            <w:szCs w:val="20"/>
          </w:rPr>
          <w:t>1</w:t>
        </w:r>
        <w:r w:rsidRPr="00DA771B">
          <w:rPr>
            <w:rStyle w:val="PageNumber"/>
            <w:rFonts w:ascii="Times New Roman" w:hAnsi="Times New Roman" w:cs="Times New Roman"/>
            <w:sz w:val="20"/>
            <w:szCs w:val="20"/>
          </w:rPr>
          <w:fldChar w:fldCharType="end"/>
        </w:r>
      </w:p>
    </w:sdtContent>
  </w:sdt>
  <w:p w14:paraId="0F780E1A" w14:textId="77777777" w:rsidR="00CD14C6" w:rsidRPr="00DA771B" w:rsidRDefault="00CD14C6">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B5AD8" w14:textId="77777777" w:rsidR="00DF776C" w:rsidRDefault="00DF776C" w:rsidP="00CD14C6">
      <w:r>
        <w:separator/>
      </w:r>
    </w:p>
  </w:footnote>
  <w:footnote w:type="continuationSeparator" w:id="0">
    <w:p w14:paraId="71F2E998" w14:textId="77777777" w:rsidR="00DF776C" w:rsidRDefault="00DF776C" w:rsidP="00CD1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BF0"/>
    <w:multiLevelType w:val="hybridMultilevel"/>
    <w:tmpl w:val="DAEAF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774F0"/>
    <w:multiLevelType w:val="hybridMultilevel"/>
    <w:tmpl w:val="E97AAFE8"/>
    <w:lvl w:ilvl="0" w:tplc="C3588DBA">
      <w:start w:val="1"/>
      <w:numFmt w:val="bullet"/>
      <w:lvlText w:val="•"/>
      <w:lvlJc w:val="left"/>
      <w:pPr>
        <w:tabs>
          <w:tab w:val="num" w:pos="720"/>
        </w:tabs>
        <w:ind w:left="720" w:hanging="360"/>
      </w:pPr>
      <w:rPr>
        <w:rFonts w:ascii="Times New Roman" w:hAnsi="Times New Roman" w:hint="default"/>
      </w:rPr>
    </w:lvl>
    <w:lvl w:ilvl="1" w:tplc="B624F188">
      <w:numFmt w:val="none"/>
      <w:lvlText w:val=""/>
      <w:lvlJc w:val="left"/>
      <w:pPr>
        <w:tabs>
          <w:tab w:val="num" w:pos="360"/>
        </w:tabs>
      </w:pPr>
    </w:lvl>
    <w:lvl w:ilvl="2" w:tplc="723CCE9E" w:tentative="1">
      <w:start w:val="1"/>
      <w:numFmt w:val="bullet"/>
      <w:lvlText w:val="•"/>
      <w:lvlJc w:val="left"/>
      <w:pPr>
        <w:tabs>
          <w:tab w:val="num" w:pos="2160"/>
        </w:tabs>
        <w:ind w:left="2160" w:hanging="360"/>
      </w:pPr>
      <w:rPr>
        <w:rFonts w:ascii="Times New Roman" w:hAnsi="Times New Roman" w:hint="default"/>
      </w:rPr>
    </w:lvl>
    <w:lvl w:ilvl="3" w:tplc="0D1AF52C" w:tentative="1">
      <w:start w:val="1"/>
      <w:numFmt w:val="bullet"/>
      <w:lvlText w:val="•"/>
      <w:lvlJc w:val="left"/>
      <w:pPr>
        <w:tabs>
          <w:tab w:val="num" w:pos="2880"/>
        </w:tabs>
        <w:ind w:left="2880" w:hanging="360"/>
      </w:pPr>
      <w:rPr>
        <w:rFonts w:ascii="Times New Roman" w:hAnsi="Times New Roman" w:hint="default"/>
      </w:rPr>
    </w:lvl>
    <w:lvl w:ilvl="4" w:tplc="4BFA290E" w:tentative="1">
      <w:start w:val="1"/>
      <w:numFmt w:val="bullet"/>
      <w:lvlText w:val="•"/>
      <w:lvlJc w:val="left"/>
      <w:pPr>
        <w:tabs>
          <w:tab w:val="num" w:pos="3600"/>
        </w:tabs>
        <w:ind w:left="3600" w:hanging="360"/>
      </w:pPr>
      <w:rPr>
        <w:rFonts w:ascii="Times New Roman" w:hAnsi="Times New Roman" w:hint="default"/>
      </w:rPr>
    </w:lvl>
    <w:lvl w:ilvl="5" w:tplc="75826A56" w:tentative="1">
      <w:start w:val="1"/>
      <w:numFmt w:val="bullet"/>
      <w:lvlText w:val="•"/>
      <w:lvlJc w:val="left"/>
      <w:pPr>
        <w:tabs>
          <w:tab w:val="num" w:pos="4320"/>
        </w:tabs>
        <w:ind w:left="4320" w:hanging="360"/>
      </w:pPr>
      <w:rPr>
        <w:rFonts w:ascii="Times New Roman" w:hAnsi="Times New Roman" w:hint="default"/>
      </w:rPr>
    </w:lvl>
    <w:lvl w:ilvl="6" w:tplc="BC6887C8" w:tentative="1">
      <w:start w:val="1"/>
      <w:numFmt w:val="bullet"/>
      <w:lvlText w:val="•"/>
      <w:lvlJc w:val="left"/>
      <w:pPr>
        <w:tabs>
          <w:tab w:val="num" w:pos="5040"/>
        </w:tabs>
        <w:ind w:left="5040" w:hanging="360"/>
      </w:pPr>
      <w:rPr>
        <w:rFonts w:ascii="Times New Roman" w:hAnsi="Times New Roman" w:hint="default"/>
      </w:rPr>
    </w:lvl>
    <w:lvl w:ilvl="7" w:tplc="6498AEC6" w:tentative="1">
      <w:start w:val="1"/>
      <w:numFmt w:val="bullet"/>
      <w:lvlText w:val="•"/>
      <w:lvlJc w:val="left"/>
      <w:pPr>
        <w:tabs>
          <w:tab w:val="num" w:pos="5760"/>
        </w:tabs>
        <w:ind w:left="5760" w:hanging="360"/>
      </w:pPr>
      <w:rPr>
        <w:rFonts w:ascii="Times New Roman" w:hAnsi="Times New Roman" w:hint="default"/>
      </w:rPr>
    </w:lvl>
    <w:lvl w:ilvl="8" w:tplc="8B58517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A4748A"/>
    <w:multiLevelType w:val="hybridMultilevel"/>
    <w:tmpl w:val="88C8D22C"/>
    <w:lvl w:ilvl="0" w:tplc="AC48D9A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347BE"/>
    <w:multiLevelType w:val="hybridMultilevel"/>
    <w:tmpl w:val="3326964E"/>
    <w:lvl w:ilvl="0" w:tplc="CBAAD622">
      <w:start w:val="1"/>
      <w:numFmt w:val="bullet"/>
      <w:lvlText w:val="¬"/>
      <w:lvlJc w:val="left"/>
      <w:pPr>
        <w:tabs>
          <w:tab w:val="num" w:pos="720"/>
        </w:tabs>
        <w:ind w:left="720" w:hanging="360"/>
      </w:pPr>
      <w:rPr>
        <w:rFonts w:ascii="Wingdings 2" w:hAnsi="Wingdings 2" w:hint="default"/>
      </w:rPr>
    </w:lvl>
    <w:lvl w:ilvl="1" w:tplc="8650293C" w:tentative="1">
      <w:start w:val="1"/>
      <w:numFmt w:val="bullet"/>
      <w:lvlText w:val="¬"/>
      <w:lvlJc w:val="left"/>
      <w:pPr>
        <w:tabs>
          <w:tab w:val="num" w:pos="1440"/>
        </w:tabs>
        <w:ind w:left="1440" w:hanging="360"/>
      </w:pPr>
      <w:rPr>
        <w:rFonts w:ascii="Wingdings 2" w:hAnsi="Wingdings 2" w:hint="default"/>
      </w:rPr>
    </w:lvl>
    <w:lvl w:ilvl="2" w:tplc="427E54A4" w:tentative="1">
      <w:start w:val="1"/>
      <w:numFmt w:val="bullet"/>
      <w:lvlText w:val="¬"/>
      <w:lvlJc w:val="left"/>
      <w:pPr>
        <w:tabs>
          <w:tab w:val="num" w:pos="2160"/>
        </w:tabs>
        <w:ind w:left="2160" w:hanging="360"/>
      </w:pPr>
      <w:rPr>
        <w:rFonts w:ascii="Wingdings 2" w:hAnsi="Wingdings 2" w:hint="default"/>
      </w:rPr>
    </w:lvl>
    <w:lvl w:ilvl="3" w:tplc="9D38DA7E" w:tentative="1">
      <w:start w:val="1"/>
      <w:numFmt w:val="bullet"/>
      <w:lvlText w:val="¬"/>
      <w:lvlJc w:val="left"/>
      <w:pPr>
        <w:tabs>
          <w:tab w:val="num" w:pos="2880"/>
        </w:tabs>
        <w:ind w:left="2880" w:hanging="360"/>
      </w:pPr>
      <w:rPr>
        <w:rFonts w:ascii="Wingdings 2" w:hAnsi="Wingdings 2" w:hint="default"/>
      </w:rPr>
    </w:lvl>
    <w:lvl w:ilvl="4" w:tplc="8E3E4D3C" w:tentative="1">
      <w:start w:val="1"/>
      <w:numFmt w:val="bullet"/>
      <w:lvlText w:val="¬"/>
      <w:lvlJc w:val="left"/>
      <w:pPr>
        <w:tabs>
          <w:tab w:val="num" w:pos="3600"/>
        </w:tabs>
        <w:ind w:left="3600" w:hanging="360"/>
      </w:pPr>
      <w:rPr>
        <w:rFonts w:ascii="Wingdings 2" w:hAnsi="Wingdings 2" w:hint="default"/>
      </w:rPr>
    </w:lvl>
    <w:lvl w:ilvl="5" w:tplc="6C2EA224" w:tentative="1">
      <w:start w:val="1"/>
      <w:numFmt w:val="bullet"/>
      <w:lvlText w:val="¬"/>
      <w:lvlJc w:val="left"/>
      <w:pPr>
        <w:tabs>
          <w:tab w:val="num" w:pos="4320"/>
        </w:tabs>
        <w:ind w:left="4320" w:hanging="360"/>
      </w:pPr>
      <w:rPr>
        <w:rFonts w:ascii="Wingdings 2" w:hAnsi="Wingdings 2" w:hint="default"/>
      </w:rPr>
    </w:lvl>
    <w:lvl w:ilvl="6" w:tplc="E6CE0398" w:tentative="1">
      <w:start w:val="1"/>
      <w:numFmt w:val="bullet"/>
      <w:lvlText w:val="¬"/>
      <w:lvlJc w:val="left"/>
      <w:pPr>
        <w:tabs>
          <w:tab w:val="num" w:pos="5040"/>
        </w:tabs>
        <w:ind w:left="5040" w:hanging="360"/>
      </w:pPr>
      <w:rPr>
        <w:rFonts w:ascii="Wingdings 2" w:hAnsi="Wingdings 2" w:hint="default"/>
      </w:rPr>
    </w:lvl>
    <w:lvl w:ilvl="7" w:tplc="35E4E2AA" w:tentative="1">
      <w:start w:val="1"/>
      <w:numFmt w:val="bullet"/>
      <w:lvlText w:val="¬"/>
      <w:lvlJc w:val="left"/>
      <w:pPr>
        <w:tabs>
          <w:tab w:val="num" w:pos="5760"/>
        </w:tabs>
        <w:ind w:left="5760" w:hanging="360"/>
      </w:pPr>
      <w:rPr>
        <w:rFonts w:ascii="Wingdings 2" w:hAnsi="Wingdings 2" w:hint="default"/>
      </w:rPr>
    </w:lvl>
    <w:lvl w:ilvl="8" w:tplc="1AC6738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89A6F40"/>
    <w:multiLevelType w:val="hybridMultilevel"/>
    <w:tmpl w:val="E0ACDA44"/>
    <w:lvl w:ilvl="0" w:tplc="AC5E483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2F59D1"/>
    <w:multiLevelType w:val="multilevel"/>
    <w:tmpl w:val="BCEE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BB33E6"/>
    <w:multiLevelType w:val="hybridMultilevel"/>
    <w:tmpl w:val="739214A8"/>
    <w:lvl w:ilvl="0" w:tplc="D21AED7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F51FF7"/>
    <w:multiLevelType w:val="multilevel"/>
    <w:tmpl w:val="F1BE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072526">
    <w:abstractNumId w:val="1"/>
  </w:num>
  <w:num w:numId="2" w16cid:durableId="704451747">
    <w:abstractNumId w:val="4"/>
  </w:num>
  <w:num w:numId="3" w16cid:durableId="1255241755">
    <w:abstractNumId w:val="3"/>
  </w:num>
  <w:num w:numId="4" w16cid:durableId="1407649399">
    <w:abstractNumId w:val="0"/>
  </w:num>
  <w:num w:numId="5" w16cid:durableId="1652253294">
    <w:abstractNumId w:val="2"/>
  </w:num>
  <w:num w:numId="6" w16cid:durableId="385032132">
    <w:abstractNumId w:val="6"/>
  </w:num>
  <w:num w:numId="7" w16cid:durableId="994457589">
    <w:abstractNumId w:val="5"/>
  </w:num>
  <w:num w:numId="8" w16cid:durableId="17266358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B7"/>
    <w:rsid w:val="00006AA8"/>
    <w:rsid w:val="00015DCF"/>
    <w:rsid w:val="0002789E"/>
    <w:rsid w:val="00027E5A"/>
    <w:rsid w:val="00032698"/>
    <w:rsid w:val="00040A54"/>
    <w:rsid w:val="000415A5"/>
    <w:rsid w:val="0005296D"/>
    <w:rsid w:val="00070E9F"/>
    <w:rsid w:val="00071F88"/>
    <w:rsid w:val="00087DCE"/>
    <w:rsid w:val="00091BB7"/>
    <w:rsid w:val="000A0675"/>
    <w:rsid w:val="000C014C"/>
    <w:rsid w:val="000D0BF0"/>
    <w:rsid w:val="000D159C"/>
    <w:rsid w:val="000D1E91"/>
    <w:rsid w:val="000D51F7"/>
    <w:rsid w:val="000E2916"/>
    <w:rsid w:val="00113F1E"/>
    <w:rsid w:val="00123F44"/>
    <w:rsid w:val="00142BB1"/>
    <w:rsid w:val="0015405C"/>
    <w:rsid w:val="0016394B"/>
    <w:rsid w:val="00164961"/>
    <w:rsid w:val="001677EA"/>
    <w:rsid w:val="001948DE"/>
    <w:rsid w:val="001A6ABC"/>
    <w:rsid w:val="001B248D"/>
    <w:rsid w:val="001B2605"/>
    <w:rsid w:val="001E2701"/>
    <w:rsid w:val="001E5744"/>
    <w:rsid w:val="00204E4F"/>
    <w:rsid w:val="00214E49"/>
    <w:rsid w:val="002222C1"/>
    <w:rsid w:val="00223DF4"/>
    <w:rsid w:val="002258CF"/>
    <w:rsid w:val="00226730"/>
    <w:rsid w:val="00240C24"/>
    <w:rsid w:val="0024652B"/>
    <w:rsid w:val="002558B9"/>
    <w:rsid w:val="002679CF"/>
    <w:rsid w:val="0028398C"/>
    <w:rsid w:val="00287462"/>
    <w:rsid w:val="00287A7F"/>
    <w:rsid w:val="002A2A78"/>
    <w:rsid w:val="002A491C"/>
    <w:rsid w:val="002A5222"/>
    <w:rsid w:val="002C1398"/>
    <w:rsid w:val="002C32BE"/>
    <w:rsid w:val="002F1CE1"/>
    <w:rsid w:val="003124C5"/>
    <w:rsid w:val="00314CE6"/>
    <w:rsid w:val="00315E0C"/>
    <w:rsid w:val="00331CA8"/>
    <w:rsid w:val="00340CE7"/>
    <w:rsid w:val="00352033"/>
    <w:rsid w:val="003647CC"/>
    <w:rsid w:val="00382A5B"/>
    <w:rsid w:val="00391297"/>
    <w:rsid w:val="003A2039"/>
    <w:rsid w:val="0042360A"/>
    <w:rsid w:val="00423D2B"/>
    <w:rsid w:val="00433118"/>
    <w:rsid w:val="00434C07"/>
    <w:rsid w:val="004621DF"/>
    <w:rsid w:val="004657F1"/>
    <w:rsid w:val="004705D6"/>
    <w:rsid w:val="00472E35"/>
    <w:rsid w:val="00482766"/>
    <w:rsid w:val="004A0B1D"/>
    <w:rsid w:val="004A4711"/>
    <w:rsid w:val="004A61B4"/>
    <w:rsid w:val="004A6982"/>
    <w:rsid w:val="00561E96"/>
    <w:rsid w:val="005B5728"/>
    <w:rsid w:val="005C6FCF"/>
    <w:rsid w:val="005D1695"/>
    <w:rsid w:val="00610A77"/>
    <w:rsid w:val="006112FA"/>
    <w:rsid w:val="00614060"/>
    <w:rsid w:val="00615435"/>
    <w:rsid w:val="00633F78"/>
    <w:rsid w:val="00650B26"/>
    <w:rsid w:val="00683912"/>
    <w:rsid w:val="006A0BE8"/>
    <w:rsid w:val="006A1CE0"/>
    <w:rsid w:val="006A2E43"/>
    <w:rsid w:val="006E273A"/>
    <w:rsid w:val="007163CC"/>
    <w:rsid w:val="00730197"/>
    <w:rsid w:val="00733751"/>
    <w:rsid w:val="00733F33"/>
    <w:rsid w:val="00734519"/>
    <w:rsid w:val="00734B3A"/>
    <w:rsid w:val="00737EE4"/>
    <w:rsid w:val="0074069A"/>
    <w:rsid w:val="00741894"/>
    <w:rsid w:val="0075088D"/>
    <w:rsid w:val="00764A49"/>
    <w:rsid w:val="007A7F47"/>
    <w:rsid w:val="007D1348"/>
    <w:rsid w:val="007E44B2"/>
    <w:rsid w:val="00800582"/>
    <w:rsid w:val="00822E41"/>
    <w:rsid w:val="008264F6"/>
    <w:rsid w:val="008441C5"/>
    <w:rsid w:val="008553E6"/>
    <w:rsid w:val="00871365"/>
    <w:rsid w:val="00871B1B"/>
    <w:rsid w:val="0087660B"/>
    <w:rsid w:val="008D0D52"/>
    <w:rsid w:val="00910BE7"/>
    <w:rsid w:val="00924C03"/>
    <w:rsid w:val="009260EF"/>
    <w:rsid w:val="00941E03"/>
    <w:rsid w:val="009640A5"/>
    <w:rsid w:val="009834D4"/>
    <w:rsid w:val="00994182"/>
    <w:rsid w:val="00994B35"/>
    <w:rsid w:val="009C7ADD"/>
    <w:rsid w:val="009D73BA"/>
    <w:rsid w:val="00A11A15"/>
    <w:rsid w:val="00A16613"/>
    <w:rsid w:val="00A171E5"/>
    <w:rsid w:val="00A64F6A"/>
    <w:rsid w:val="00A81632"/>
    <w:rsid w:val="00A82D43"/>
    <w:rsid w:val="00A83CE4"/>
    <w:rsid w:val="00A870ED"/>
    <w:rsid w:val="00A94292"/>
    <w:rsid w:val="00AA3C35"/>
    <w:rsid w:val="00AC27FE"/>
    <w:rsid w:val="00AC3267"/>
    <w:rsid w:val="00AC5392"/>
    <w:rsid w:val="00AD7E51"/>
    <w:rsid w:val="00AF2A5F"/>
    <w:rsid w:val="00B03CC2"/>
    <w:rsid w:val="00B63CDF"/>
    <w:rsid w:val="00B848B7"/>
    <w:rsid w:val="00BB26F7"/>
    <w:rsid w:val="00BB30D2"/>
    <w:rsid w:val="00BC42C4"/>
    <w:rsid w:val="00BC431A"/>
    <w:rsid w:val="00BD6E4B"/>
    <w:rsid w:val="00C27F24"/>
    <w:rsid w:val="00C51176"/>
    <w:rsid w:val="00C51B92"/>
    <w:rsid w:val="00C56820"/>
    <w:rsid w:val="00C9625C"/>
    <w:rsid w:val="00CA680A"/>
    <w:rsid w:val="00CB3CC5"/>
    <w:rsid w:val="00CD14C6"/>
    <w:rsid w:val="00CD1F3B"/>
    <w:rsid w:val="00CE1931"/>
    <w:rsid w:val="00CF7614"/>
    <w:rsid w:val="00D04684"/>
    <w:rsid w:val="00D04E58"/>
    <w:rsid w:val="00D11BE1"/>
    <w:rsid w:val="00D14A37"/>
    <w:rsid w:val="00D33F95"/>
    <w:rsid w:val="00D3595D"/>
    <w:rsid w:val="00D422C0"/>
    <w:rsid w:val="00D42780"/>
    <w:rsid w:val="00D56570"/>
    <w:rsid w:val="00D61ADB"/>
    <w:rsid w:val="00D66E31"/>
    <w:rsid w:val="00D71900"/>
    <w:rsid w:val="00D73E81"/>
    <w:rsid w:val="00DA771B"/>
    <w:rsid w:val="00DB115E"/>
    <w:rsid w:val="00DB21B7"/>
    <w:rsid w:val="00DB2652"/>
    <w:rsid w:val="00DB3109"/>
    <w:rsid w:val="00DC6FD8"/>
    <w:rsid w:val="00DD4790"/>
    <w:rsid w:val="00DF3054"/>
    <w:rsid w:val="00DF3809"/>
    <w:rsid w:val="00DF776C"/>
    <w:rsid w:val="00E00014"/>
    <w:rsid w:val="00E20431"/>
    <w:rsid w:val="00E62B3D"/>
    <w:rsid w:val="00E70672"/>
    <w:rsid w:val="00E7495B"/>
    <w:rsid w:val="00EB2298"/>
    <w:rsid w:val="00EB2BD6"/>
    <w:rsid w:val="00EB3031"/>
    <w:rsid w:val="00EC38EA"/>
    <w:rsid w:val="00EE4E53"/>
    <w:rsid w:val="00F0255E"/>
    <w:rsid w:val="00F07A58"/>
    <w:rsid w:val="00F155DF"/>
    <w:rsid w:val="00F25FD0"/>
    <w:rsid w:val="00F4332A"/>
    <w:rsid w:val="00F43D33"/>
    <w:rsid w:val="00F72938"/>
    <w:rsid w:val="00F84508"/>
    <w:rsid w:val="00F845C3"/>
    <w:rsid w:val="00FA6B37"/>
    <w:rsid w:val="00FE5EAD"/>
    <w:rsid w:val="00FF65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C6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039"/>
    <w:pPr>
      <w:ind w:left="720"/>
      <w:contextualSpacing/>
    </w:pPr>
  </w:style>
  <w:style w:type="paragraph" w:styleId="Footer">
    <w:name w:val="footer"/>
    <w:basedOn w:val="Normal"/>
    <w:link w:val="FooterChar"/>
    <w:uiPriority w:val="99"/>
    <w:unhideWhenUsed/>
    <w:rsid w:val="00CD14C6"/>
    <w:pPr>
      <w:tabs>
        <w:tab w:val="center" w:pos="4513"/>
        <w:tab w:val="right" w:pos="9026"/>
      </w:tabs>
    </w:pPr>
  </w:style>
  <w:style w:type="character" w:customStyle="1" w:styleId="FooterChar">
    <w:name w:val="Footer Char"/>
    <w:basedOn w:val="DefaultParagraphFont"/>
    <w:link w:val="Footer"/>
    <w:uiPriority w:val="99"/>
    <w:rsid w:val="00CD14C6"/>
  </w:style>
  <w:style w:type="character" w:styleId="PageNumber">
    <w:name w:val="page number"/>
    <w:basedOn w:val="DefaultParagraphFont"/>
    <w:uiPriority w:val="99"/>
    <w:semiHidden/>
    <w:unhideWhenUsed/>
    <w:rsid w:val="00CD14C6"/>
  </w:style>
  <w:style w:type="character" w:styleId="Hyperlink">
    <w:name w:val="Hyperlink"/>
    <w:basedOn w:val="DefaultParagraphFont"/>
    <w:uiPriority w:val="99"/>
    <w:unhideWhenUsed/>
    <w:rsid w:val="00A64F6A"/>
    <w:rPr>
      <w:color w:val="0563C1" w:themeColor="hyperlink"/>
      <w:u w:val="single"/>
    </w:rPr>
  </w:style>
  <w:style w:type="character" w:styleId="FollowedHyperlink">
    <w:name w:val="FollowedHyperlink"/>
    <w:basedOn w:val="DefaultParagraphFont"/>
    <w:uiPriority w:val="99"/>
    <w:semiHidden/>
    <w:unhideWhenUsed/>
    <w:rsid w:val="00A64F6A"/>
    <w:rPr>
      <w:color w:val="954F72" w:themeColor="followedHyperlink"/>
      <w:u w:val="single"/>
    </w:rPr>
  </w:style>
  <w:style w:type="character" w:styleId="UnresolvedMention">
    <w:name w:val="Unresolved Mention"/>
    <w:basedOn w:val="DefaultParagraphFont"/>
    <w:uiPriority w:val="99"/>
    <w:semiHidden/>
    <w:unhideWhenUsed/>
    <w:rsid w:val="00331CA8"/>
    <w:rPr>
      <w:color w:val="605E5C"/>
      <w:shd w:val="clear" w:color="auto" w:fill="E1DFDD"/>
    </w:rPr>
  </w:style>
  <w:style w:type="paragraph" w:styleId="NormalWeb">
    <w:name w:val="Normal (Web)"/>
    <w:basedOn w:val="Normal"/>
    <w:uiPriority w:val="99"/>
    <w:semiHidden/>
    <w:unhideWhenUsed/>
    <w:rsid w:val="006A0BE8"/>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DB21B7"/>
    <w:pPr>
      <w:tabs>
        <w:tab w:val="center" w:pos="4513"/>
        <w:tab w:val="right" w:pos="9026"/>
      </w:tabs>
    </w:pPr>
  </w:style>
  <w:style w:type="character" w:customStyle="1" w:styleId="HeaderChar">
    <w:name w:val="Header Char"/>
    <w:basedOn w:val="DefaultParagraphFont"/>
    <w:link w:val="Header"/>
    <w:uiPriority w:val="99"/>
    <w:rsid w:val="00DB21B7"/>
  </w:style>
  <w:style w:type="character" w:styleId="CommentReference">
    <w:name w:val="annotation reference"/>
    <w:basedOn w:val="DefaultParagraphFont"/>
    <w:uiPriority w:val="99"/>
    <w:semiHidden/>
    <w:unhideWhenUsed/>
    <w:rsid w:val="00EB2BD6"/>
    <w:rPr>
      <w:sz w:val="16"/>
      <w:szCs w:val="16"/>
    </w:rPr>
  </w:style>
  <w:style w:type="paragraph" w:styleId="CommentText">
    <w:name w:val="annotation text"/>
    <w:basedOn w:val="Normal"/>
    <w:link w:val="CommentTextChar"/>
    <w:uiPriority w:val="99"/>
    <w:semiHidden/>
    <w:unhideWhenUsed/>
    <w:rsid w:val="00EB2BD6"/>
    <w:rPr>
      <w:sz w:val="20"/>
      <w:szCs w:val="20"/>
    </w:rPr>
  </w:style>
  <w:style w:type="character" w:customStyle="1" w:styleId="CommentTextChar">
    <w:name w:val="Comment Text Char"/>
    <w:basedOn w:val="DefaultParagraphFont"/>
    <w:link w:val="CommentText"/>
    <w:uiPriority w:val="99"/>
    <w:semiHidden/>
    <w:rsid w:val="00EB2BD6"/>
    <w:rPr>
      <w:sz w:val="20"/>
      <w:szCs w:val="20"/>
    </w:rPr>
  </w:style>
  <w:style w:type="paragraph" w:styleId="CommentSubject">
    <w:name w:val="annotation subject"/>
    <w:basedOn w:val="CommentText"/>
    <w:next w:val="CommentText"/>
    <w:link w:val="CommentSubjectChar"/>
    <w:uiPriority w:val="99"/>
    <w:semiHidden/>
    <w:unhideWhenUsed/>
    <w:rsid w:val="00EB2BD6"/>
    <w:rPr>
      <w:b/>
      <w:bCs/>
    </w:rPr>
  </w:style>
  <w:style w:type="character" w:customStyle="1" w:styleId="CommentSubjectChar">
    <w:name w:val="Comment Subject Char"/>
    <w:basedOn w:val="CommentTextChar"/>
    <w:link w:val="CommentSubject"/>
    <w:uiPriority w:val="99"/>
    <w:semiHidden/>
    <w:rsid w:val="00EB2BD6"/>
    <w:rPr>
      <w:b/>
      <w:bCs/>
      <w:sz w:val="20"/>
      <w:szCs w:val="20"/>
    </w:rPr>
  </w:style>
  <w:style w:type="paragraph" w:styleId="Revision">
    <w:name w:val="Revision"/>
    <w:hidden/>
    <w:uiPriority w:val="99"/>
    <w:semiHidden/>
    <w:rsid w:val="00EB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0074">
      <w:bodyDiv w:val="1"/>
      <w:marLeft w:val="0"/>
      <w:marRight w:val="0"/>
      <w:marTop w:val="0"/>
      <w:marBottom w:val="0"/>
      <w:divBdr>
        <w:top w:val="none" w:sz="0" w:space="0" w:color="auto"/>
        <w:left w:val="none" w:sz="0" w:space="0" w:color="auto"/>
        <w:bottom w:val="none" w:sz="0" w:space="0" w:color="auto"/>
        <w:right w:val="none" w:sz="0" w:space="0" w:color="auto"/>
      </w:divBdr>
    </w:div>
    <w:div w:id="1514341181">
      <w:bodyDiv w:val="1"/>
      <w:marLeft w:val="0"/>
      <w:marRight w:val="0"/>
      <w:marTop w:val="0"/>
      <w:marBottom w:val="0"/>
      <w:divBdr>
        <w:top w:val="none" w:sz="0" w:space="0" w:color="auto"/>
        <w:left w:val="none" w:sz="0" w:space="0" w:color="auto"/>
        <w:bottom w:val="none" w:sz="0" w:space="0" w:color="auto"/>
        <w:right w:val="none" w:sz="0" w:space="0" w:color="auto"/>
      </w:divBdr>
      <w:divsChild>
        <w:div w:id="696082996">
          <w:marLeft w:val="360"/>
          <w:marRight w:val="0"/>
          <w:marTop w:val="200"/>
          <w:marBottom w:val="0"/>
          <w:divBdr>
            <w:top w:val="none" w:sz="0" w:space="0" w:color="auto"/>
            <w:left w:val="none" w:sz="0" w:space="0" w:color="auto"/>
            <w:bottom w:val="none" w:sz="0" w:space="0" w:color="auto"/>
            <w:right w:val="none" w:sz="0" w:space="0" w:color="auto"/>
          </w:divBdr>
        </w:div>
        <w:div w:id="1978293224">
          <w:marLeft w:val="360"/>
          <w:marRight w:val="0"/>
          <w:marTop w:val="200"/>
          <w:marBottom w:val="0"/>
          <w:divBdr>
            <w:top w:val="none" w:sz="0" w:space="0" w:color="auto"/>
            <w:left w:val="none" w:sz="0" w:space="0" w:color="auto"/>
            <w:bottom w:val="none" w:sz="0" w:space="0" w:color="auto"/>
            <w:right w:val="none" w:sz="0" w:space="0" w:color="auto"/>
          </w:divBdr>
        </w:div>
        <w:div w:id="2013560625">
          <w:marLeft w:val="360"/>
          <w:marRight w:val="0"/>
          <w:marTop w:val="200"/>
          <w:marBottom w:val="0"/>
          <w:divBdr>
            <w:top w:val="none" w:sz="0" w:space="0" w:color="auto"/>
            <w:left w:val="none" w:sz="0" w:space="0" w:color="auto"/>
            <w:bottom w:val="none" w:sz="0" w:space="0" w:color="auto"/>
            <w:right w:val="none" w:sz="0" w:space="0" w:color="auto"/>
          </w:divBdr>
        </w:div>
        <w:div w:id="1841430694">
          <w:marLeft w:val="360"/>
          <w:marRight w:val="0"/>
          <w:marTop w:val="200"/>
          <w:marBottom w:val="0"/>
          <w:divBdr>
            <w:top w:val="none" w:sz="0" w:space="0" w:color="auto"/>
            <w:left w:val="none" w:sz="0" w:space="0" w:color="auto"/>
            <w:bottom w:val="none" w:sz="0" w:space="0" w:color="auto"/>
            <w:right w:val="none" w:sz="0" w:space="0" w:color="auto"/>
          </w:divBdr>
        </w:div>
      </w:divsChild>
    </w:div>
    <w:div w:id="1905480095">
      <w:bodyDiv w:val="1"/>
      <w:marLeft w:val="0"/>
      <w:marRight w:val="0"/>
      <w:marTop w:val="0"/>
      <w:marBottom w:val="0"/>
      <w:divBdr>
        <w:top w:val="none" w:sz="0" w:space="0" w:color="auto"/>
        <w:left w:val="none" w:sz="0" w:space="0" w:color="auto"/>
        <w:bottom w:val="none" w:sz="0" w:space="0" w:color="auto"/>
        <w:right w:val="none" w:sz="0" w:space="0" w:color="auto"/>
      </w:divBdr>
      <w:divsChild>
        <w:div w:id="1040741615">
          <w:marLeft w:val="547"/>
          <w:marRight w:val="0"/>
          <w:marTop w:val="0"/>
          <w:marBottom w:val="0"/>
          <w:divBdr>
            <w:top w:val="none" w:sz="0" w:space="0" w:color="auto"/>
            <w:left w:val="none" w:sz="0" w:space="0" w:color="auto"/>
            <w:bottom w:val="none" w:sz="0" w:space="0" w:color="auto"/>
            <w:right w:val="none" w:sz="0" w:space="0" w:color="auto"/>
          </w:divBdr>
        </w:div>
        <w:div w:id="157307225">
          <w:marLeft w:val="547"/>
          <w:marRight w:val="0"/>
          <w:marTop w:val="0"/>
          <w:marBottom w:val="0"/>
          <w:divBdr>
            <w:top w:val="none" w:sz="0" w:space="0" w:color="auto"/>
            <w:left w:val="none" w:sz="0" w:space="0" w:color="auto"/>
            <w:bottom w:val="none" w:sz="0" w:space="0" w:color="auto"/>
            <w:right w:val="none" w:sz="0" w:space="0" w:color="auto"/>
          </w:divBdr>
        </w:div>
        <w:div w:id="1506554754">
          <w:marLeft w:val="1166"/>
          <w:marRight w:val="0"/>
          <w:marTop w:val="0"/>
          <w:marBottom w:val="0"/>
          <w:divBdr>
            <w:top w:val="none" w:sz="0" w:space="0" w:color="auto"/>
            <w:left w:val="none" w:sz="0" w:space="0" w:color="auto"/>
            <w:bottom w:val="none" w:sz="0" w:space="0" w:color="auto"/>
            <w:right w:val="none" w:sz="0" w:space="0" w:color="auto"/>
          </w:divBdr>
        </w:div>
        <w:div w:id="1314794460">
          <w:marLeft w:val="1166"/>
          <w:marRight w:val="0"/>
          <w:marTop w:val="0"/>
          <w:marBottom w:val="0"/>
          <w:divBdr>
            <w:top w:val="none" w:sz="0" w:space="0" w:color="auto"/>
            <w:left w:val="none" w:sz="0" w:space="0" w:color="auto"/>
            <w:bottom w:val="none" w:sz="0" w:space="0" w:color="auto"/>
            <w:right w:val="none" w:sz="0" w:space="0" w:color="auto"/>
          </w:divBdr>
        </w:div>
        <w:div w:id="818158463">
          <w:marLeft w:val="1166"/>
          <w:marRight w:val="0"/>
          <w:marTop w:val="0"/>
          <w:marBottom w:val="0"/>
          <w:divBdr>
            <w:top w:val="none" w:sz="0" w:space="0" w:color="auto"/>
            <w:left w:val="none" w:sz="0" w:space="0" w:color="auto"/>
            <w:bottom w:val="none" w:sz="0" w:space="0" w:color="auto"/>
            <w:right w:val="none" w:sz="0" w:space="0" w:color="auto"/>
          </w:divBdr>
        </w:div>
        <w:div w:id="451166829">
          <w:marLeft w:val="1166"/>
          <w:marRight w:val="0"/>
          <w:marTop w:val="0"/>
          <w:marBottom w:val="0"/>
          <w:divBdr>
            <w:top w:val="none" w:sz="0" w:space="0" w:color="auto"/>
            <w:left w:val="none" w:sz="0" w:space="0" w:color="auto"/>
            <w:bottom w:val="none" w:sz="0" w:space="0" w:color="auto"/>
            <w:right w:val="none" w:sz="0" w:space="0" w:color="auto"/>
          </w:divBdr>
        </w:div>
        <w:div w:id="7946431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entia.org.au/statistics" TargetMode="External"/><Relationship Id="rId13" Type="http://schemas.openxmlformats.org/officeDocument/2006/relationships/hyperlink" Target="https://doi.org/10.1017/S0144686X12000013"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16/j.socscimed.2017.05.010" TargetMode="External"/><Relationship Id="rId12" Type="http://schemas.openxmlformats.org/officeDocument/2006/relationships/hyperlink" Target="https://doi.org/10.1007/978-981-32-9208-6_1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0312407X.2014.95318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312407X.2018.1536155" TargetMode="External"/><Relationship Id="rId5" Type="http://schemas.openxmlformats.org/officeDocument/2006/relationships/footnotes" Target="footnotes.xml"/><Relationship Id="rId15" Type="http://schemas.openxmlformats.org/officeDocument/2006/relationships/hyperlink" Target="https://agedcare.royalcommission.gov.au/publications/final-report-executive-summary" TargetMode="External"/><Relationship Id="rId10" Type="http://schemas.openxmlformats.org/officeDocument/2006/relationships/hyperlink" Target="https://doi.org/10.1300/J083v37n02_0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mentia.org.au/about-dementia/what-is-dementia" TargetMode="External"/><Relationship Id="rId14" Type="http://schemas.openxmlformats.org/officeDocument/2006/relationships/hyperlink" Target="https://agedcare.royalcommission.gov.au/sites/default/files/2020-02/interim-report-volum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4517</Words>
  <Characters>25751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2023-06-26T12:00:00Z</dcterms:created>
  <dcterms:modified xsi:type="dcterms:W3CDTF">2023-06-26T12:00:00Z</dcterms:modified>
</cp:coreProperties>
</file>