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68E8" w14:textId="2B76C9FE" w:rsidR="00931895" w:rsidRPr="004F0F01" w:rsidRDefault="000837EC" w:rsidP="00E51BAD">
      <w:pPr>
        <w:pStyle w:val="Title"/>
      </w:pPr>
      <w:r w:rsidRPr="004F0F01">
        <w:t>Safety issues for women experiencing intimate partner violence</w:t>
      </w:r>
      <w:r w:rsidR="008A2A81" w:rsidRPr="004F0F01">
        <w:t xml:space="preserve"> (IPV)</w:t>
      </w:r>
      <w:r w:rsidRPr="004F0F01">
        <w:t xml:space="preserve">: An integrative </w:t>
      </w:r>
      <w:proofErr w:type="gramStart"/>
      <w:r w:rsidR="002872E3" w:rsidRPr="004F0F01">
        <w:t>review</w:t>
      </w:r>
      <w:proofErr w:type="gramEnd"/>
      <w:r w:rsidR="002872E3" w:rsidRPr="004F0F01">
        <w:t xml:space="preserve"> </w:t>
      </w:r>
    </w:p>
    <w:p w14:paraId="6A1F1A08" w14:textId="46369D8A" w:rsidR="00172B88" w:rsidRPr="004F0F01" w:rsidRDefault="00172B88">
      <w:pPr>
        <w:rPr>
          <w:rFonts w:cs="Times New Roman"/>
        </w:rPr>
      </w:pPr>
    </w:p>
    <w:p w14:paraId="4210D54A" w14:textId="6823B6D1" w:rsidR="008E6A9C" w:rsidRDefault="008E6A9C" w:rsidP="005679DA">
      <w:pPr>
        <w:pStyle w:val="Heading2"/>
      </w:pPr>
      <w:r w:rsidRPr="005679DA">
        <w:t>Daisie Mitchell</w:t>
      </w:r>
      <w:r w:rsidR="00D16F06" w:rsidRPr="005679DA">
        <w:t xml:space="preserve"> &amp; Shajimon Peter</w:t>
      </w:r>
    </w:p>
    <w:p w14:paraId="6FCF7D90" w14:textId="3AD0DB5E" w:rsidR="005679DA" w:rsidRPr="005679DA" w:rsidRDefault="005679DA" w:rsidP="005679DA">
      <w:pPr>
        <w:rPr>
          <w:color w:val="C00000"/>
          <w:sz w:val="28"/>
          <w:szCs w:val="28"/>
        </w:rPr>
      </w:pPr>
      <w:r>
        <w:rPr>
          <w:color w:val="C00000"/>
          <w:sz w:val="28"/>
          <w:szCs w:val="28"/>
        </w:rPr>
        <w:t>Edith Cowan University</w:t>
      </w:r>
    </w:p>
    <w:p w14:paraId="3EDD933A" w14:textId="4ADE5220" w:rsidR="00685F81" w:rsidRPr="00685F81" w:rsidRDefault="00685F81" w:rsidP="00D16F06"/>
    <w:p w14:paraId="00D8A246" w14:textId="77777777" w:rsidR="00D647BB" w:rsidRPr="00D647BB" w:rsidRDefault="00D647BB" w:rsidP="00D647BB"/>
    <w:p w14:paraId="06D2D4E5" w14:textId="71D6A97A" w:rsidR="006D470F" w:rsidRPr="00D647BB" w:rsidRDefault="006D470F" w:rsidP="005679DA">
      <w:pPr>
        <w:pStyle w:val="Heading2"/>
      </w:pPr>
      <w:r w:rsidRPr="004F0F01">
        <w:t>Abstract</w:t>
      </w:r>
      <w:r w:rsidR="00D901B9">
        <w:rPr>
          <w:szCs w:val="24"/>
        </w:rPr>
        <w:tab/>
      </w:r>
    </w:p>
    <w:p w14:paraId="513CE8AD" w14:textId="425BF47E" w:rsidR="00965721" w:rsidRPr="004F0F01" w:rsidRDefault="00965721" w:rsidP="00004028">
      <w:pPr>
        <w:rPr>
          <w:rFonts w:cs="Times New Roman"/>
          <w:szCs w:val="24"/>
        </w:rPr>
      </w:pPr>
      <w:r w:rsidRPr="004F0F01">
        <w:rPr>
          <w:rFonts w:cs="Times New Roman"/>
          <w:szCs w:val="24"/>
        </w:rPr>
        <w:t xml:space="preserve">This integrative literature review </w:t>
      </w:r>
      <w:r w:rsidR="00440AA6">
        <w:rPr>
          <w:rFonts w:cs="Times New Roman"/>
          <w:szCs w:val="24"/>
        </w:rPr>
        <w:t>examines the</w:t>
      </w:r>
      <w:r w:rsidRPr="004F0F01">
        <w:rPr>
          <w:rFonts w:cs="Times New Roman"/>
          <w:szCs w:val="24"/>
        </w:rPr>
        <w:t xml:space="preserve"> safety issues for women experiencing intimate partner violence (IPV) in Australian studies. </w:t>
      </w:r>
      <w:r w:rsidR="00970282" w:rsidRPr="004F0F01">
        <w:rPr>
          <w:rFonts w:cs="Times New Roman"/>
          <w:szCs w:val="24"/>
        </w:rPr>
        <w:t>Using clear inclusion and exclusion criteria, s</w:t>
      </w:r>
      <w:r w:rsidRPr="004F0F01">
        <w:rPr>
          <w:rFonts w:cs="Times New Roman"/>
          <w:szCs w:val="24"/>
        </w:rPr>
        <w:t xml:space="preserve">even databases were systematically searched for </w:t>
      </w:r>
      <w:r w:rsidR="00952677">
        <w:rPr>
          <w:rFonts w:cs="Times New Roman"/>
          <w:szCs w:val="24"/>
        </w:rPr>
        <w:t>the</w:t>
      </w:r>
      <w:r w:rsidRPr="004F0F01">
        <w:rPr>
          <w:rFonts w:cs="Times New Roman"/>
          <w:szCs w:val="24"/>
        </w:rPr>
        <w:t xml:space="preserve"> study</w:t>
      </w:r>
      <w:r w:rsidR="00481673" w:rsidRPr="004F0F01">
        <w:rPr>
          <w:rFonts w:cs="Times New Roman"/>
          <w:szCs w:val="24"/>
        </w:rPr>
        <w:t xml:space="preserve">. </w:t>
      </w:r>
      <w:r w:rsidR="00C26284" w:rsidRPr="004F0F01">
        <w:rPr>
          <w:rFonts w:cs="Times New Roman"/>
          <w:szCs w:val="24"/>
        </w:rPr>
        <w:t xml:space="preserve">A total of </w:t>
      </w:r>
      <w:r w:rsidR="00F215CF">
        <w:rPr>
          <w:rFonts w:cs="Times New Roman"/>
          <w:szCs w:val="24"/>
        </w:rPr>
        <w:t>ten</w:t>
      </w:r>
      <w:r w:rsidR="00F215CF" w:rsidRPr="004F0F01">
        <w:rPr>
          <w:rFonts w:cs="Times New Roman"/>
          <w:szCs w:val="24"/>
        </w:rPr>
        <w:t xml:space="preserve"> </w:t>
      </w:r>
      <w:r w:rsidR="00C26284" w:rsidRPr="004F0F01">
        <w:rPr>
          <w:rFonts w:cs="Times New Roman"/>
          <w:szCs w:val="24"/>
        </w:rPr>
        <w:t xml:space="preserve">samples were identified as suitable for the study </w:t>
      </w:r>
      <w:r w:rsidR="00171EFC" w:rsidRPr="004F0F01">
        <w:rPr>
          <w:rFonts w:cs="Times New Roman"/>
          <w:szCs w:val="24"/>
        </w:rPr>
        <w:t>after a thorough screening</w:t>
      </w:r>
      <w:r w:rsidR="003202E4" w:rsidRPr="004F0F01">
        <w:rPr>
          <w:rFonts w:cs="Times New Roman"/>
          <w:szCs w:val="24"/>
        </w:rPr>
        <w:t xml:space="preserve"> of accessed source</w:t>
      </w:r>
      <w:r w:rsidR="00840CB3" w:rsidRPr="004F0F01">
        <w:rPr>
          <w:rFonts w:cs="Times New Roman"/>
          <w:szCs w:val="24"/>
        </w:rPr>
        <w:t>s</w:t>
      </w:r>
      <w:r w:rsidR="00354909" w:rsidRPr="004F0F01">
        <w:rPr>
          <w:rFonts w:cs="Times New Roman"/>
          <w:szCs w:val="24"/>
        </w:rPr>
        <w:t xml:space="preserve">. </w:t>
      </w:r>
      <w:r w:rsidR="00CD6239" w:rsidRPr="004F0F01">
        <w:rPr>
          <w:rFonts w:cs="Times New Roman"/>
          <w:szCs w:val="24"/>
        </w:rPr>
        <w:t xml:space="preserve">For ensuring the quality and appropriateness of the </w:t>
      </w:r>
      <w:r w:rsidR="00025C17" w:rsidRPr="004F0F01">
        <w:rPr>
          <w:rFonts w:cs="Times New Roman"/>
          <w:szCs w:val="24"/>
        </w:rPr>
        <w:t>sources, the</w:t>
      </w:r>
      <w:r w:rsidR="00D036B8" w:rsidRPr="004F0F01">
        <w:rPr>
          <w:rFonts w:cs="Times New Roman"/>
          <w:szCs w:val="24"/>
        </w:rPr>
        <w:t xml:space="preserve"> CRAAP test, which examined the currency, </w:t>
      </w:r>
      <w:r w:rsidR="004E7F12" w:rsidRPr="004F0F01">
        <w:rPr>
          <w:rFonts w:cs="Times New Roman"/>
          <w:szCs w:val="24"/>
        </w:rPr>
        <w:t>relevance, authority, accuracy, and purpose</w:t>
      </w:r>
      <w:r w:rsidR="00025C17" w:rsidRPr="004F0F01">
        <w:rPr>
          <w:rFonts w:cs="Times New Roman"/>
          <w:szCs w:val="24"/>
        </w:rPr>
        <w:t xml:space="preserve"> was conducted</w:t>
      </w:r>
      <w:r w:rsidR="00F70DE6" w:rsidRPr="004F0F01">
        <w:rPr>
          <w:rFonts w:cs="Times New Roman"/>
          <w:szCs w:val="24"/>
        </w:rPr>
        <w:t xml:space="preserve">. </w:t>
      </w:r>
      <w:r w:rsidR="002C66CA" w:rsidRPr="004F0F01">
        <w:rPr>
          <w:rFonts w:cs="Times New Roman"/>
          <w:szCs w:val="24"/>
        </w:rPr>
        <w:t xml:space="preserve">A thematic analysis was </w:t>
      </w:r>
      <w:r w:rsidRPr="004F0F01">
        <w:rPr>
          <w:rFonts w:cs="Times New Roman"/>
          <w:szCs w:val="24"/>
        </w:rPr>
        <w:t xml:space="preserve">employed </w:t>
      </w:r>
      <w:r w:rsidR="002C66CA" w:rsidRPr="004F0F01">
        <w:rPr>
          <w:rFonts w:cs="Times New Roman"/>
          <w:szCs w:val="24"/>
        </w:rPr>
        <w:t>for analysing the data</w:t>
      </w:r>
      <w:r w:rsidRPr="004F0F01">
        <w:rPr>
          <w:rFonts w:cs="Times New Roman"/>
          <w:szCs w:val="24"/>
        </w:rPr>
        <w:t>. Four core themes were identified from the analysis</w:t>
      </w:r>
      <w:r w:rsidR="00FC2C27" w:rsidRPr="004F0F01">
        <w:rPr>
          <w:rFonts w:cs="Times New Roman"/>
          <w:szCs w:val="24"/>
        </w:rPr>
        <w:t>, which are</w:t>
      </w:r>
      <w:r w:rsidRPr="004F0F01">
        <w:rPr>
          <w:rFonts w:cs="Times New Roman"/>
          <w:szCs w:val="24"/>
        </w:rPr>
        <w:t xml:space="preserve">: </w:t>
      </w:r>
      <w:r w:rsidR="00CD436D">
        <w:rPr>
          <w:rFonts w:cs="Times New Roman"/>
          <w:szCs w:val="24"/>
        </w:rPr>
        <w:t>l</w:t>
      </w:r>
      <w:r w:rsidRPr="004F0F01">
        <w:rPr>
          <w:rFonts w:cs="Times New Roman"/>
          <w:szCs w:val="24"/>
        </w:rPr>
        <w:t xml:space="preserve">ack of IPV </w:t>
      </w:r>
      <w:r w:rsidR="00CD436D">
        <w:rPr>
          <w:rFonts w:cs="Times New Roman"/>
          <w:szCs w:val="24"/>
        </w:rPr>
        <w:t>e</w:t>
      </w:r>
      <w:r w:rsidRPr="004F0F01">
        <w:rPr>
          <w:rFonts w:cs="Times New Roman"/>
          <w:szCs w:val="24"/>
        </w:rPr>
        <w:t xml:space="preserve">ducation and </w:t>
      </w:r>
      <w:r w:rsidR="00CD436D">
        <w:rPr>
          <w:rFonts w:cs="Times New Roman"/>
          <w:szCs w:val="24"/>
        </w:rPr>
        <w:t>t</w:t>
      </w:r>
      <w:r w:rsidRPr="004F0F01">
        <w:rPr>
          <w:rFonts w:cs="Times New Roman"/>
          <w:szCs w:val="24"/>
        </w:rPr>
        <w:t>raining</w:t>
      </w:r>
      <w:r w:rsidR="00CD436D">
        <w:rPr>
          <w:rFonts w:cs="Times New Roman"/>
          <w:szCs w:val="24"/>
        </w:rPr>
        <w:t>, i</w:t>
      </w:r>
      <w:r w:rsidRPr="004F0F01">
        <w:rPr>
          <w:rFonts w:cs="Times New Roman"/>
          <w:szCs w:val="24"/>
        </w:rPr>
        <w:t xml:space="preserve">ssues with </w:t>
      </w:r>
      <w:r w:rsidR="00CD436D">
        <w:rPr>
          <w:rFonts w:cs="Times New Roman"/>
          <w:szCs w:val="24"/>
        </w:rPr>
        <w:t>s</w:t>
      </w:r>
      <w:r w:rsidRPr="004F0F01">
        <w:rPr>
          <w:rFonts w:cs="Times New Roman"/>
          <w:szCs w:val="24"/>
        </w:rPr>
        <w:t>ervices</w:t>
      </w:r>
      <w:r w:rsidR="00CD436D">
        <w:rPr>
          <w:rFonts w:cs="Times New Roman"/>
          <w:szCs w:val="24"/>
        </w:rPr>
        <w:t>,</w:t>
      </w:r>
      <w:r w:rsidRPr="004F0F01">
        <w:rPr>
          <w:rFonts w:cs="Times New Roman"/>
          <w:szCs w:val="24"/>
        </w:rPr>
        <w:t xml:space="preserve"> </w:t>
      </w:r>
      <w:r w:rsidR="00CD436D">
        <w:rPr>
          <w:rFonts w:cs="Times New Roman"/>
          <w:szCs w:val="24"/>
        </w:rPr>
        <w:t>s</w:t>
      </w:r>
      <w:r w:rsidRPr="004F0F01">
        <w:rPr>
          <w:rFonts w:cs="Times New Roman"/>
          <w:szCs w:val="24"/>
        </w:rPr>
        <w:t xml:space="preserve">ystemic </w:t>
      </w:r>
      <w:r w:rsidR="0033192A">
        <w:rPr>
          <w:rFonts w:cs="Times New Roman"/>
          <w:szCs w:val="24"/>
        </w:rPr>
        <w:t>i</w:t>
      </w:r>
      <w:r w:rsidRPr="004F0F01">
        <w:rPr>
          <w:rFonts w:cs="Times New Roman"/>
          <w:szCs w:val="24"/>
        </w:rPr>
        <w:t>ssues</w:t>
      </w:r>
      <w:r w:rsidR="0033192A">
        <w:rPr>
          <w:rFonts w:cs="Times New Roman"/>
          <w:szCs w:val="24"/>
        </w:rPr>
        <w:t>,</w:t>
      </w:r>
      <w:r w:rsidRPr="004F0F01">
        <w:rPr>
          <w:rFonts w:cs="Times New Roman"/>
          <w:szCs w:val="24"/>
        </w:rPr>
        <w:t xml:space="preserve"> and </w:t>
      </w:r>
      <w:r w:rsidR="00CC6E02">
        <w:rPr>
          <w:rFonts w:cs="Times New Roman"/>
          <w:szCs w:val="24"/>
        </w:rPr>
        <w:t xml:space="preserve">issues with </w:t>
      </w:r>
      <w:r w:rsidR="0033192A">
        <w:rPr>
          <w:rFonts w:cs="Times New Roman"/>
          <w:szCs w:val="24"/>
        </w:rPr>
        <w:t>p</w:t>
      </w:r>
      <w:r w:rsidRPr="004F0F01">
        <w:rPr>
          <w:rFonts w:cs="Times New Roman"/>
          <w:szCs w:val="24"/>
        </w:rPr>
        <w:t xml:space="preserve">rotection </w:t>
      </w:r>
      <w:r w:rsidR="0033192A">
        <w:rPr>
          <w:rFonts w:cs="Times New Roman"/>
          <w:szCs w:val="24"/>
        </w:rPr>
        <w:t>o</w:t>
      </w:r>
      <w:r w:rsidRPr="004F0F01">
        <w:rPr>
          <w:rFonts w:cs="Times New Roman"/>
          <w:szCs w:val="24"/>
        </w:rPr>
        <w:t xml:space="preserve">rders. Together, the findings suggest how </w:t>
      </w:r>
      <w:r w:rsidR="00D13CB8" w:rsidRPr="004F0F01">
        <w:rPr>
          <w:rFonts w:cs="Times New Roman"/>
          <w:szCs w:val="24"/>
        </w:rPr>
        <w:t>a range of</w:t>
      </w:r>
      <w:r w:rsidRPr="004F0F01">
        <w:rPr>
          <w:rFonts w:cs="Times New Roman"/>
          <w:szCs w:val="24"/>
        </w:rPr>
        <w:t xml:space="preserve"> social processes impact the safety of women experiencing IPV. </w:t>
      </w:r>
      <w:r w:rsidR="00F215CF">
        <w:rPr>
          <w:rFonts w:cs="Times New Roman"/>
          <w:szCs w:val="24"/>
        </w:rPr>
        <w:t>These findings</w:t>
      </w:r>
      <w:r w:rsidR="00F215CF" w:rsidRPr="004F0F01">
        <w:rPr>
          <w:rFonts w:cs="Times New Roman"/>
          <w:szCs w:val="24"/>
        </w:rPr>
        <w:t xml:space="preserve"> </w:t>
      </w:r>
      <w:r w:rsidR="00C404B3" w:rsidRPr="004F0F01">
        <w:rPr>
          <w:rFonts w:cs="Times New Roman"/>
          <w:szCs w:val="24"/>
        </w:rPr>
        <w:t xml:space="preserve">necessitate a holistic approach to </w:t>
      </w:r>
      <w:r w:rsidR="004B6D76" w:rsidRPr="004F0F01">
        <w:rPr>
          <w:rFonts w:cs="Times New Roman"/>
          <w:szCs w:val="24"/>
        </w:rPr>
        <w:t>IPV</w:t>
      </w:r>
      <w:r w:rsidR="00D664DA" w:rsidRPr="004F0F01">
        <w:rPr>
          <w:rFonts w:cs="Times New Roman"/>
          <w:szCs w:val="24"/>
        </w:rPr>
        <w:t xml:space="preserve"> if </w:t>
      </w:r>
      <w:r w:rsidR="00921F02" w:rsidRPr="004F0F01">
        <w:rPr>
          <w:rFonts w:cs="Times New Roman"/>
          <w:szCs w:val="24"/>
        </w:rPr>
        <w:t xml:space="preserve">women’s safety is to be effectively addressed. </w:t>
      </w:r>
      <w:r w:rsidRPr="004F0F01">
        <w:rPr>
          <w:rFonts w:cs="Times New Roman"/>
          <w:szCs w:val="24"/>
        </w:rPr>
        <w:t xml:space="preserve"> </w:t>
      </w:r>
      <w:r w:rsidR="0090437D" w:rsidRPr="004F0F01">
        <w:rPr>
          <w:rFonts w:cs="Times New Roman"/>
          <w:szCs w:val="24"/>
        </w:rPr>
        <w:t>I</w:t>
      </w:r>
      <w:r w:rsidRPr="004F0F01">
        <w:rPr>
          <w:rFonts w:cs="Times New Roman"/>
          <w:szCs w:val="24"/>
        </w:rPr>
        <w:t xml:space="preserve">t is vital to look at the many layers that impact women's safety rather than a focus on the individuals involved. </w:t>
      </w:r>
    </w:p>
    <w:p w14:paraId="74C024D6" w14:textId="77777777" w:rsidR="0064002E" w:rsidRPr="004F0F01" w:rsidRDefault="0064002E" w:rsidP="00965721">
      <w:pPr>
        <w:pStyle w:val="BodyText"/>
        <w:rPr>
          <w:szCs w:val="24"/>
        </w:rPr>
      </w:pPr>
    </w:p>
    <w:p w14:paraId="0E49396A" w14:textId="096B8A4D" w:rsidR="00556B47" w:rsidRPr="00E51BAD" w:rsidRDefault="00556B47" w:rsidP="005679DA">
      <w:pPr>
        <w:pStyle w:val="Heading2"/>
        <w:rPr>
          <w:rStyle w:val="TitleChar"/>
          <w:rFonts w:cs="Times New Roman"/>
          <w:b/>
          <w:spacing w:val="0"/>
          <w:kern w:val="0"/>
          <w:sz w:val="28"/>
          <w:szCs w:val="32"/>
        </w:rPr>
      </w:pPr>
      <w:r w:rsidRPr="00E51BAD">
        <w:rPr>
          <w:rStyle w:val="TitleChar"/>
          <w:rFonts w:cs="Times New Roman"/>
          <w:b/>
          <w:spacing w:val="0"/>
          <w:kern w:val="0"/>
          <w:sz w:val="28"/>
          <w:szCs w:val="32"/>
        </w:rPr>
        <w:t>K</w:t>
      </w:r>
      <w:r w:rsidR="0064002E" w:rsidRPr="00E51BAD">
        <w:rPr>
          <w:rStyle w:val="TitleChar"/>
          <w:rFonts w:cs="Times New Roman"/>
          <w:b/>
          <w:spacing w:val="0"/>
          <w:kern w:val="0"/>
          <w:sz w:val="28"/>
          <w:szCs w:val="32"/>
        </w:rPr>
        <w:t>eywords</w:t>
      </w:r>
    </w:p>
    <w:p w14:paraId="1B07C14B" w14:textId="6BEC498F" w:rsidR="0064002E" w:rsidRPr="004F0F01" w:rsidRDefault="00F41C61" w:rsidP="00965721">
      <w:pPr>
        <w:pStyle w:val="BodyText"/>
        <w:rPr>
          <w:szCs w:val="24"/>
        </w:rPr>
      </w:pPr>
      <w:r w:rsidRPr="004F0F01">
        <w:rPr>
          <w:szCs w:val="24"/>
        </w:rPr>
        <w:t>Women</w:t>
      </w:r>
      <w:r w:rsidR="00721F4A" w:rsidRPr="004F0F01">
        <w:rPr>
          <w:szCs w:val="24"/>
        </w:rPr>
        <w:t>;</w:t>
      </w:r>
      <w:r w:rsidRPr="004F0F01">
        <w:rPr>
          <w:szCs w:val="24"/>
        </w:rPr>
        <w:t xml:space="preserve"> Safety Issues</w:t>
      </w:r>
      <w:r w:rsidR="00721F4A" w:rsidRPr="004F0F01">
        <w:rPr>
          <w:szCs w:val="24"/>
        </w:rPr>
        <w:t>;</w:t>
      </w:r>
      <w:r w:rsidRPr="004F0F01">
        <w:rPr>
          <w:szCs w:val="24"/>
        </w:rPr>
        <w:t xml:space="preserve"> Violence</w:t>
      </w:r>
      <w:r w:rsidR="00721F4A" w:rsidRPr="004F0F01">
        <w:rPr>
          <w:szCs w:val="24"/>
        </w:rPr>
        <w:t>;</w:t>
      </w:r>
      <w:r w:rsidRPr="004F0F01">
        <w:rPr>
          <w:szCs w:val="24"/>
        </w:rPr>
        <w:t xml:space="preserve"> Abuse</w:t>
      </w:r>
    </w:p>
    <w:p w14:paraId="21B492C1" w14:textId="77777777" w:rsidR="006D470F" w:rsidRPr="004F0F01" w:rsidRDefault="006D470F">
      <w:pPr>
        <w:rPr>
          <w:rFonts w:cs="Times New Roman"/>
          <w:szCs w:val="24"/>
        </w:rPr>
      </w:pPr>
    </w:p>
    <w:p w14:paraId="334D635E" w14:textId="77777777" w:rsidR="00257404" w:rsidRPr="004F0F01" w:rsidRDefault="00257404">
      <w:pPr>
        <w:rPr>
          <w:rFonts w:cs="Times New Roman"/>
          <w:szCs w:val="24"/>
        </w:rPr>
      </w:pPr>
    </w:p>
    <w:p w14:paraId="33E47AC3" w14:textId="77777777" w:rsidR="00257404" w:rsidRPr="004F0F01" w:rsidRDefault="00257404">
      <w:pPr>
        <w:rPr>
          <w:rFonts w:cs="Times New Roman"/>
          <w:szCs w:val="24"/>
        </w:rPr>
      </w:pPr>
    </w:p>
    <w:p w14:paraId="78556873" w14:textId="77777777" w:rsidR="00257404" w:rsidRPr="004F0F01" w:rsidRDefault="00257404">
      <w:pPr>
        <w:rPr>
          <w:rFonts w:cs="Times New Roman"/>
          <w:szCs w:val="24"/>
        </w:rPr>
      </w:pPr>
    </w:p>
    <w:p w14:paraId="69F34A8F" w14:textId="33B86E4F" w:rsidR="00BB53E8" w:rsidRPr="00D647BB" w:rsidRDefault="009216FF" w:rsidP="005679DA">
      <w:pPr>
        <w:pStyle w:val="Heading2"/>
      </w:pPr>
      <w:r w:rsidRPr="004F0F01">
        <w:t>Introduction</w:t>
      </w:r>
    </w:p>
    <w:p w14:paraId="62B9067D" w14:textId="05FDDFD7" w:rsidR="00257404" w:rsidRPr="004F0F01" w:rsidRDefault="004F0F01" w:rsidP="00CD74F0">
      <w:pPr>
        <w:rPr>
          <w:rFonts w:cs="Times New Roman"/>
          <w:szCs w:val="24"/>
        </w:rPr>
      </w:pPr>
      <w:r w:rsidRPr="004F0F01">
        <w:t>Intimate Partner V</w:t>
      </w:r>
      <w:r w:rsidR="00BB53E8" w:rsidRPr="004F0F01">
        <w:t>iolence (</w:t>
      </w:r>
      <w:r w:rsidR="00270E0B">
        <w:t>IPV</w:t>
      </w:r>
      <w:r w:rsidR="00BB53E8" w:rsidRPr="004F0F01">
        <w:t>) is a prevalent issue in Australia that occurs across all ages, socio-economic backgrounds</w:t>
      </w:r>
      <w:r w:rsidR="00D85581" w:rsidRPr="004F0F01">
        <w:t>,</w:t>
      </w:r>
      <w:r w:rsidR="00BB53E8" w:rsidRPr="004F0F01">
        <w:t xml:space="preserve"> and demographics, and it predominantly impacts women and children (Australian Institute of Health and Welfare [AIHW], 2018). IPV causes more illness, disability, and death among Australian women than other risk factors (AIHW, 2018). In 2019, a third of all homicides in Australia were related to </w:t>
      </w:r>
      <w:r w:rsidR="008338A9">
        <w:t>IPV</w:t>
      </w:r>
      <w:r w:rsidR="00BB53E8" w:rsidRPr="004F0F01">
        <w:t xml:space="preserve"> (Australian Bureau of Statistics [ABS], 2020), </w:t>
      </w:r>
      <w:r w:rsidR="00795B65" w:rsidRPr="004F0F01">
        <w:t xml:space="preserve">and it </w:t>
      </w:r>
      <w:r w:rsidR="00C0725D" w:rsidRPr="004F0F01">
        <w:t xml:space="preserve">further </w:t>
      </w:r>
      <w:r w:rsidR="00795B65" w:rsidRPr="004F0F01">
        <w:t>increased</w:t>
      </w:r>
      <w:r w:rsidR="00BB53E8" w:rsidRPr="004F0F01">
        <w:t xml:space="preserve"> by 12% in 2020 (ABS, 2021). </w:t>
      </w:r>
      <w:proofErr w:type="gramStart"/>
      <w:r w:rsidR="00BB53E8" w:rsidRPr="004F0F01">
        <w:t>In order to</w:t>
      </w:r>
      <w:proofErr w:type="gramEnd"/>
      <w:r w:rsidR="00BB53E8" w:rsidRPr="004F0F01">
        <w:t xml:space="preserve"> reduce incidents of IPV in Australia, there is a need to understand what safety issues women experience when living with IPV, which is what this study aims to do. </w:t>
      </w:r>
      <w:r w:rsidR="00195C94" w:rsidRPr="004F0F01">
        <w:t xml:space="preserve">The concept of safety issues translates as a condition, practice, </w:t>
      </w:r>
      <w:proofErr w:type="gramStart"/>
      <w:r w:rsidR="00195C94" w:rsidRPr="004F0F01">
        <w:t>violation</w:t>
      </w:r>
      <w:proofErr w:type="gramEnd"/>
      <w:r w:rsidR="00195C94" w:rsidRPr="004F0F01">
        <w:t xml:space="preserve"> or scenario that impacts the quality of being safe or causes danger, risk or injury (Collins Dictionary, n.d.; Environment, Health and Safety, 2021).</w:t>
      </w:r>
      <w:r w:rsidR="00372F7C" w:rsidRPr="004F0F01">
        <w:t xml:space="preserve"> A</w:t>
      </w:r>
      <w:r w:rsidR="00AB1E0B" w:rsidRPr="004F0F01">
        <w:t xml:space="preserve"> comprehensive </w:t>
      </w:r>
      <w:r w:rsidR="004A2202">
        <w:t>study</w:t>
      </w:r>
      <w:r w:rsidR="00AB1E0B" w:rsidRPr="004F0F01">
        <w:t xml:space="preserve"> of multiple safety issues is absent in the </w:t>
      </w:r>
      <w:r w:rsidR="0070699B" w:rsidRPr="004F0F01">
        <w:t xml:space="preserve">Australian </w:t>
      </w:r>
      <w:r w:rsidR="00AB1E0B" w:rsidRPr="004F0F01">
        <w:t>literature.</w:t>
      </w:r>
      <w:r w:rsidR="005A3BA4" w:rsidRPr="004F0F01">
        <w:t xml:space="preserve"> T</w:t>
      </w:r>
      <w:r w:rsidR="00AC3B62" w:rsidRPr="004F0F01">
        <w:t xml:space="preserve">his study </w:t>
      </w:r>
      <w:r w:rsidR="00691F0E" w:rsidRPr="004F0F01">
        <w:t xml:space="preserve">aims to </w:t>
      </w:r>
      <w:r w:rsidR="001E13CD" w:rsidRPr="004F0F01">
        <w:t>examine</w:t>
      </w:r>
      <w:r w:rsidR="00691F0E" w:rsidRPr="004F0F01">
        <w:t xml:space="preserve"> Australian literature on IPV </w:t>
      </w:r>
      <w:r w:rsidR="00DE3620" w:rsidRPr="004F0F01">
        <w:t>f</w:t>
      </w:r>
      <w:r w:rsidR="00B34C09" w:rsidRPr="004F0F01">
        <w:t>or</w:t>
      </w:r>
      <w:r w:rsidR="00AB1E0B" w:rsidRPr="004F0F01">
        <w:t xml:space="preserve"> </w:t>
      </w:r>
      <w:r w:rsidR="00DE3620" w:rsidRPr="004F0F01">
        <w:t>gathering</w:t>
      </w:r>
      <w:r w:rsidR="00AB1E0B" w:rsidRPr="004F0F01">
        <w:t xml:space="preserve"> the key themes of safety issues</w:t>
      </w:r>
      <w:r w:rsidR="001E13CD" w:rsidRPr="004F0F01">
        <w:t xml:space="preserve">. Findings </w:t>
      </w:r>
      <w:r w:rsidR="00EA25A2" w:rsidRPr="004F0F01">
        <w:t>may</w:t>
      </w:r>
      <w:r w:rsidR="00AB1E0B" w:rsidRPr="004F0F01">
        <w:t xml:space="preserve"> contribute to Australia's policy and practice regarding IPV, which may lead to increased safety for women.</w:t>
      </w:r>
    </w:p>
    <w:p w14:paraId="6027F3E3" w14:textId="7907CF49" w:rsidR="005D624F" w:rsidRPr="00D647BB" w:rsidRDefault="00D477B0" w:rsidP="005679DA">
      <w:pPr>
        <w:pStyle w:val="Heading2"/>
      </w:pPr>
      <w:r>
        <w:t>Background</w:t>
      </w:r>
    </w:p>
    <w:p w14:paraId="260812B1" w14:textId="7AB5B9C8" w:rsidR="005D624F" w:rsidRPr="004F0F01" w:rsidRDefault="005D624F" w:rsidP="00D901B9">
      <w:r w:rsidRPr="004F0F01">
        <w:t>Literature on IPV highlights a resonating theme that IPV incidents on a macro level are due to the ongoing inequalities between men and women in Australia (</w:t>
      </w:r>
      <w:proofErr w:type="spellStart"/>
      <w:r w:rsidRPr="004F0F01">
        <w:t>Dragiewicz</w:t>
      </w:r>
      <w:proofErr w:type="spellEnd"/>
      <w:r w:rsidRPr="004F0F01">
        <w:t xml:space="preserve"> et al., 2021; </w:t>
      </w:r>
      <w:proofErr w:type="spellStart"/>
      <w:r w:rsidRPr="004F0F01">
        <w:t>Dragiewicz</w:t>
      </w:r>
      <w:proofErr w:type="spellEnd"/>
      <w:r w:rsidRPr="004F0F01">
        <w:t xml:space="preserve"> et al., 2022; Hing et al., 2021), with more women than men experiencing IPV (Corrie, 2015; Hulme et al., 2019). In a study conducted by Hing et al. (2021) that looked at the links between women's experiences of IPV and gambling, nearly all participants interviewed described their male partners as controlling, narcissistic, and misogynistic. Their partners expected strict traditional gender roles, and women expressed that their male partners used violence to assert authority, control</w:t>
      </w:r>
      <w:r w:rsidR="00862ED0" w:rsidRPr="004F0F01">
        <w:t>,</w:t>
      </w:r>
      <w:r w:rsidRPr="004F0F01">
        <w:t xml:space="preserve"> and discipline (Hing et al., 2021). </w:t>
      </w:r>
      <w:r w:rsidR="00862ED0" w:rsidRPr="004F0F01">
        <w:t xml:space="preserve">It was </w:t>
      </w:r>
      <w:r w:rsidRPr="004F0F01">
        <w:t>found that men's attitudes towards typical gender roles, controlling behaviours and condoning of violence were played out in intimate relationships before their gambling issues began, yet as the gambling problem intensified, so did the abuse</w:t>
      </w:r>
      <w:r w:rsidR="00862ED0" w:rsidRPr="004F0F01">
        <w:t xml:space="preserve"> (Hing et al., 2021).</w:t>
      </w:r>
      <w:r w:rsidRPr="004F0F01">
        <w:t xml:space="preserve"> In a study by </w:t>
      </w:r>
      <w:proofErr w:type="spellStart"/>
      <w:r w:rsidRPr="004F0F01">
        <w:t>Forsdike</w:t>
      </w:r>
      <w:proofErr w:type="spellEnd"/>
      <w:r w:rsidRPr="004F0F01">
        <w:t xml:space="preserve"> et al. (2021), the narrative of IPV being a gender issue gets highlighted among male participants as </w:t>
      </w:r>
      <w:r w:rsidRPr="004F0F01">
        <w:lastRenderedPageBreak/>
        <w:t>a part of a focus group in a Men's Behaviour Change Program. Male participants expressed that significant barriers to seeking help for their abusive behaviour were a lack of self-awareness due to denial or normalising IPV in relationships as acceptable due to their understanding of stereotypical masculinity norms (</w:t>
      </w:r>
      <w:proofErr w:type="spellStart"/>
      <w:r w:rsidRPr="004F0F01">
        <w:t>Forsdike</w:t>
      </w:r>
      <w:proofErr w:type="spellEnd"/>
      <w:r w:rsidRPr="004F0F01">
        <w:t xml:space="preserve"> et al., 2021). A large drive for men to change their abusive behaviours came from wanting to make their own choices and to avoid decisions that impact their lives imposed by courts, highlighting resistance to being told what to do (</w:t>
      </w:r>
      <w:proofErr w:type="spellStart"/>
      <w:r w:rsidRPr="004F0F01">
        <w:t>Forsdike</w:t>
      </w:r>
      <w:proofErr w:type="spellEnd"/>
      <w:r w:rsidRPr="004F0F01">
        <w:t xml:space="preserve"> et al., 2021). Men continue to perpetrate violence against women as it is socially acceptable for men to hold power in society (Hing et al., 2021). </w:t>
      </w:r>
    </w:p>
    <w:p w14:paraId="1EC1CEA5" w14:textId="3DF25160" w:rsidR="005D624F" w:rsidRPr="004F0F01" w:rsidRDefault="003101F9" w:rsidP="00D901B9">
      <w:r w:rsidRPr="004F0F01">
        <w:t>G</w:t>
      </w:r>
      <w:r w:rsidR="005D624F" w:rsidRPr="004F0F01">
        <w:t xml:space="preserve">ender-based violence is especially present in IPV involving sexual violence (IPSV). </w:t>
      </w:r>
      <w:r w:rsidR="00BB3D4A" w:rsidRPr="004F0F01">
        <w:t xml:space="preserve">A study by </w:t>
      </w:r>
      <w:r w:rsidR="006D1B9D" w:rsidRPr="004F0F01">
        <w:t>Tarzia and Tyler (2021) found that</w:t>
      </w:r>
      <w:r w:rsidR="00690C07" w:rsidRPr="004F0F01">
        <w:t xml:space="preserve"> this form </w:t>
      </w:r>
      <w:r w:rsidR="0012670A">
        <w:t xml:space="preserve">of </w:t>
      </w:r>
      <w:r w:rsidR="00690C07" w:rsidRPr="004F0F01">
        <w:t>violence</w:t>
      </w:r>
      <w:r w:rsidR="005D624F" w:rsidRPr="004F0F01">
        <w:t xml:space="preserve"> is perpetrated mainly by men. </w:t>
      </w:r>
      <w:r w:rsidR="008E2D0E" w:rsidRPr="004F0F01">
        <w:t xml:space="preserve">Their research </w:t>
      </w:r>
      <w:r w:rsidR="005D624F" w:rsidRPr="004F0F01">
        <w:t xml:space="preserve">investigated the link between IPSV and pornography through thematic analysis of </w:t>
      </w:r>
      <w:r w:rsidR="005D624F" w:rsidRPr="00F215CF">
        <w:t xml:space="preserve">qualitative interviews of women's experiences of IPSV. They found that abusive sexual acts </w:t>
      </w:r>
      <w:r w:rsidR="00586D20" w:rsidRPr="00F215CF">
        <w:t>occurred</w:t>
      </w:r>
      <w:r w:rsidR="005D624F" w:rsidRPr="00F215CF">
        <w:t xml:space="preserve"> after men watch</w:t>
      </w:r>
      <w:r w:rsidR="0004508E" w:rsidRPr="00F215CF">
        <w:t>ing</w:t>
      </w:r>
      <w:r w:rsidR="005D624F" w:rsidRPr="00F215CF">
        <w:t xml:space="preserve"> pornography. More </w:t>
      </w:r>
      <w:r w:rsidR="005D624F" w:rsidRPr="004F0F01">
        <w:t xml:space="preserve">than half of the female participants </w:t>
      </w:r>
      <w:r w:rsidR="008B2A11" w:rsidRPr="004F0F01">
        <w:t xml:space="preserve">in their study </w:t>
      </w:r>
      <w:r w:rsidR="005D624F" w:rsidRPr="004F0F01">
        <w:t>stated that pornography was involved in their sexual assaults, even when they were not prompted to speak about pornography. Tarzia and Tyler (2021) connected men watching pornography with IPSV through what they describe as a cultural context of heterosexual relations. When men watch pornography involving physical violence and aggression towards women, with substantial gender inequality represented, they internalise this behaviour as a cultural norm, blurring the lines of what should be an accepted part of heterosexual relationships (Tarzia &amp; Tyler, 2021). IPV is a form of gender-based violence that is both a cause and a consequence of gender inequality (</w:t>
      </w:r>
      <w:proofErr w:type="spellStart"/>
      <w:r w:rsidR="005D624F" w:rsidRPr="004F0F01">
        <w:t>Dragiewicz</w:t>
      </w:r>
      <w:proofErr w:type="spellEnd"/>
      <w:r w:rsidR="005D624F" w:rsidRPr="004F0F01">
        <w:t xml:space="preserve"> et al., 2021). </w:t>
      </w:r>
    </w:p>
    <w:p w14:paraId="0C214837" w14:textId="76E460B7" w:rsidR="005D624F" w:rsidRPr="004F0F01" w:rsidRDefault="005D624F" w:rsidP="00D901B9">
      <w:r w:rsidRPr="004F0F01">
        <w:t xml:space="preserve">Corrie (2015) found that gender pay gaps in Australia significantly impact women experiencing IPV. Throughout life, women experience inequalities in lower levels of workplace participation, lower pay rates, higher financial </w:t>
      </w:r>
      <w:proofErr w:type="gramStart"/>
      <w:r w:rsidRPr="004F0F01">
        <w:t>stress</w:t>
      </w:r>
      <w:proofErr w:type="gramEnd"/>
      <w:r w:rsidRPr="004F0F01">
        <w:t xml:space="preserve"> and lower retirement funds (Corrie, 2015). IPV further compounds such economic issues, putting women at a further disadvantage (Corrie, 2015). </w:t>
      </w:r>
    </w:p>
    <w:p w14:paraId="74DF7260" w14:textId="6A92EA0E" w:rsidR="00D06A8C" w:rsidRPr="00F27756" w:rsidRDefault="00D06A8C" w:rsidP="00D901B9">
      <w:r w:rsidRPr="00F27756">
        <w:t xml:space="preserve">Economic dependence due to financial insecurity limits women's ability to leave violent relationships (Corrie, 2015; Hing et al., 2021). Corrie (2015) found that women who experience IPV depend more on welfare payments as their primary income and find it harder to keep employment, particularly when economic abuse is a part of IPV. A part of economic abuse in a relationship is men sabotaging their partner's education or employment by not allowing women to work or attend education or making it difficult for a woman to do so (Corrie, 2015). Hing et al. (2021) found that nearly all female participants experienced financial abuse when relationships involved gambling. The impacts of financial abuse amongst gambling involved men re-mortgaging homes, creating debts in their partner's names, stealing from women, limiting women's access to </w:t>
      </w:r>
      <w:proofErr w:type="gramStart"/>
      <w:r w:rsidRPr="00F27756">
        <w:t>money</w:t>
      </w:r>
      <w:proofErr w:type="gramEnd"/>
      <w:r w:rsidRPr="00F27756">
        <w:t xml:space="preserve"> and using weekly food, utility and rent money on gambling (Hing et al., 2021). Financial abuse traps women in abusive relationships or makes post-separation living challenging (Corrie, 2015). IPV causes economic insecurity across different groups of women, even if women are high-income earners (Corrie, 2015; Dillon et al., 2016). Leaving abusive relationships requires the finances to relocate and cover legal costs regarding splitting assets and shared custody of children (Corrie, 2015; Dillon et al., 2016). When women can stay in the family home post-separation from relationships involving IPV, the expense of living on one wage can be </w:t>
      </w:r>
      <w:r w:rsidR="00883972">
        <w:t>difficult</w:t>
      </w:r>
      <w:r w:rsidRPr="00F27756">
        <w:t xml:space="preserve"> (Corrie, 2015). Burdensome living expenses, especially for a woman living on welfare payments, can explain why many women leave the family home and seek affordable housing (Corrie, 2015). However, a lack of affordable rentals and public housing availability has become a significant issue (Corrie, 2015), making women who have experienced IPV more vulnerable to homelessness and poverty (Dillon et al., 2016). Dillon et al. (2016) found that vulnerabilities around homelessness and poverty result in many abused women returning to their violent ex-partners.</w:t>
      </w:r>
    </w:p>
    <w:p w14:paraId="3B33B03B" w14:textId="77777777" w:rsidR="00D06A8C" w:rsidRPr="00F27756" w:rsidRDefault="00D06A8C" w:rsidP="00D901B9">
      <w:r w:rsidRPr="00F27756">
        <w:t>Post-separation economic abuse gets facilitated through child support when men withhold child support payments to control and constrain women (</w:t>
      </w:r>
      <w:proofErr w:type="spellStart"/>
      <w:r w:rsidRPr="00F27756">
        <w:t>Natalier</w:t>
      </w:r>
      <w:proofErr w:type="spellEnd"/>
      <w:r w:rsidRPr="00F27756">
        <w:t xml:space="preserve">, 2018). Through </w:t>
      </w:r>
      <w:proofErr w:type="spellStart"/>
      <w:r w:rsidRPr="00F27756">
        <w:t>Natalier's</w:t>
      </w:r>
      <w:proofErr w:type="spellEnd"/>
      <w:r w:rsidRPr="00F27756">
        <w:t xml:space="preserve"> (2018) interviews, women expressed powerlessness when their ex-partners would gloat over rorting the child support system. Men avoided payments by leaving their jobs, returning to study, working for cash, avoiding tax </w:t>
      </w:r>
      <w:proofErr w:type="gramStart"/>
      <w:r w:rsidRPr="00F27756">
        <w:t>returns</w:t>
      </w:r>
      <w:proofErr w:type="gramEnd"/>
      <w:r w:rsidRPr="00F27756">
        <w:t xml:space="preserve"> and minimising their incomes through businesses or family members (</w:t>
      </w:r>
      <w:proofErr w:type="spellStart"/>
      <w:r w:rsidRPr="00F27756">
        <w:t>Natalier</w:t>
      </w:r>
      <w:proofErr w:type="spellEnd"/>
      <w:r w:rsidRPr="00F27756">
        <w:t>, 2018). Women believed men's behaviour in withholding or making irregular child support payments was a deliberate attempt to control their financial capacity and choices (</w:t>
      </w:r>
      <w:proofErr w:type="spellStart"/>
      <w:r w:rsidRPr="00F27756">
        <w:t>Natalier</w:t>
      </w:r>
      <w:proofErr w:type="spellEnd"/>
      <w:r w:rsidRPr="00F27756">
        <w:t>, 2018). Withholding child support payments is not only economic abuse but also erodes women's economic security (</w:t>
      </w:r>
      <w:proofErr w:type="spellStart"/>
      <w:r w:rsidRPr="00F27756">
        <w:t>Natalier</w:t>
      </w:r>
      <w:proofErr w:type="spellEnd"/>
      <w:r w:rsidRPr="00F27756">
        <w:t>, 2018).</w:t>
      </w:r>
    </w:p>
    <w:p w14:paraId="6075ED84" w14:textId="0F8D061B" w:rsidR="000C40D9" w:rsidRPr="00F27756" w:rsidRDefault="00EF4A2D" w:rsidP="00D901B9">
      <w:r w:rsidRPr="00F27756">
        <w:t xml:space="preserve">Coercive controlling behaviours (CCB) are commonly used in non-physical abuse that male partners use to intimidate, </w:t>
      </w:r>
      <w:proofErr w:type="gramStart"/>
      <w:r w:rsidRPr="00F27756">
        <w:t>isolate</w:t>
      </w:r>
      <w:proofErr w:type="gramEnd"/>
      <w:r w:rsidRPr="00F27756">
        <w:t xml:space="preserve"> and gain control over their intimate partners (Patafio et al., 2022). Generally, non-physical violence occurs in the early stages of a relationship, and due to not always being obvious, some women may not understand the severity of non-physical violence (Minto et al., 2022). Men with higher education often carry out non-physical violence, such as shouting, starting </w:t>
      </w:r>
      <w:proofErr w:type="gramStart"/>
      <w:r w:rsidRPr="00F27756">
        <w:t>arguments</w:t>
      </w:r>
      <w:proofErr w:type="gramEnd"/>
      <w:r w:rsidRPr="00F27756">
        <w:t xml:space="preserve"> and controlling behaviours, and men with high incomes are most likely to use CCB (Hulme et al., 2019). Harms caused by CCB include threats, isolation tactics, coercion that leads to fear, anxiety, stress and low self-esteem, dependency on perpetrators of IPV and entrapment (Patafio et al., 2022). Technology-based abuse is a growing problem in Australia, which is increasingly getting incorporated into IPV dynamics with technology-facilitated coercive control (TFCC) (</w:t>
      </w:r>
      <w:proofErr w:type="spellStart"/>
      <w:r w:rsidRPr="00F27756">
        <w:t>Dragiewicz</w:t>
      </w:r>
      <w:proofErr w:type="spellEnd"/>
      <w:r w:rsidRPr="00F27756">
        <w:t xml:space="preserve"> et al., 2021). TFCC incorporates monitoring, stalking, threatening, abusive, and intrusive behaviours conducted through social media, GPS tracking, digital recorders, email, smartphones, and other devices (</w:t>
      </w:r>
      <w:proofErr w:type="spellStart"/>
      <w:r w:rsidRPr="00F27756">
        <w:t>Dragiewicz</w:t>
      </w:r>
      <w:proofErr w:type="spellEnd"/>
      <w:r w:rsidRPr="00F27756">
        <w:t xml:space="preserve"> et al., 2021). More women than men seek help regarding technology-based abuse, with preliminary studies showing that digital technology creates profound safety implications for women experiencing IPV (</w:t>
      </w:r>
      <w:proofErr w:type="spellStart"/>
      <w:r w:rsidRPr="00F27756">
        <w:t>Dragiewicz</w:t>
      </w:r>
      <w:proofErr w:type="spellEnd"/>
      <w:r w:rsidRPr="00F27756">
        <w:t xml:space="preserve"> et al., 2021). Women whose partners use TFCC have stated that their partners take away their phones, control their passwords, look through their call lists and emails and have installed cameras in their homes and cars (</w:t>
      </w:r>
      <w:proofErr w:type="spellStart"/>
      <w:r w:rsidRPr="00F27756">
        <w:t>Dragiewicz</w:t>
      </w:r>
      <w:proofErr w:type="spellEnd"/>
      <w:r w:rsidRPr="00F27756">
        <w:t xml:space="preserve"> et al., 2021). Technology has become a key component that enables coercive control (</w:t>
      </w:r>
      <w:proofErr w:type="spellStart"/>
      <w:r w:rsidRPr="00F27756">
        <w:t>Dragiewicz</w:t>
      </w:r>
      <w:proofErr w:type="spellEnd"/>
      <w:r w:rsidRPr="00F27756">
        <w:t xml:space="preserve"> et al., 2022), which police, legal systems, and telecommunication companies do not take seriously (</w:t>
      </w:r>
      <w:proofErr w:type="spellStart"/>
      <w:r w:rsidRPr="00F27756">
        <w:t>Dragiewicz</w:t>
      </w:r>
      <w:proofErr w:type="spellEnd"/>
      <w:r w:rsidRPr="00F27756">
        <w:t xml:space="preserve"> et al., 2021). TFCC does not stop after separation (</w:t>
      </w:r>
      <w:proofErr w:type="spellStart"/>
      <w:r w:rsidRPr="00F27756">
        <w:t>Dragiewicz</w:t>
      </w:r>
      <w:proofErr w:type="spellEnd"/>
      <w:r w:rsidRPr="00F27756">
        <w:t xml:space="preserve"> et al., 2022); it generally increases (</w:t>
      </w:r>
      <w:proofErr w:type="spellStart"/>
      <w:r w:rsidRPr="00F27756">
        <w:t>Dragiewicz</w:t>
      </w:r>
      <w:proofErr w:type="spellEnd"/>
      <w:r w:rsidRPr="00F27756">
        <w:t xml:space="preserve"> et al., 2021). Whether court-ordered or voluntary, co-parenting post-separation provides an ongoing context for men to enact TFCC (</w:t>
      </w:r>
      <w:proofErr w:type="spellStart"/>
      <w:r w:rsidRPr="00F27756">
        <w:t>Dragiewicz</w:t>
      </w:r>
      <w:proofErr w:type="spellEnd"/>
      <w:r w:rsidRPr="00F27756">
        <w:t xml:space="preserve"> et al., 2021), with legal systems rarely addressing TFCC in producing parenting orders involving IPV (</w:t>
      </w:r>
      <w:proofErr w:type="spellStart"/>
      <w:r w:rsidRPr="00F27756">
        <w:t>Dragiewicz</w:t>
      </w:r>
      <w:proofErr w:type="spellEnd"/>
      <w:r w:rsidRPr="00F27756">
        <w:t xml:space="preserve"> et al., 2021).</w:t>
      </w:r>
      <w:r w:rsidR="00D647BB">
        <w:t xml:space="preserve"> </w:t>
      </w:r>
      <w:r w:rsidR="00204D63">
        <w:t xml:space="preserve">Given the context discussed above, this study focuses on </w:t>
      </w:r>
      <w:r w:rsidR="00EB3CCA">
        <w:t>women</w:t>
      </w:r>
      <w:r w:rsidR="00EA290A">
        <w:t xml:space="preserve"> who experience IPV</w:t>
      </w:r>
      <w:r w:rsidR="00EB3CCA">
        <w:t xml:space="preserve"> to examine </w:t>
      </w:r>
      <w:r w:rsidR="00897890">
        <w:t>what safety issues they may hav</w:t>
      </w:r>
      <w:r w:rsidR="00C80103">
        <w:t>e</w:t>
      </w:r>
      <w:r w:rsidR="00C91EAB">
        <w:t xml:space="preserve">. </w:t>
      </w:r>
      <w:r w:rsidR="00EB3CCA">
        <w:t xml:space="preserve"> </w:t>
      </w:r>
    </w:p>
    <w:p w14:paraId="2BE694D3" w14:textId="7024E88F" w:rsidR="005610FE" w:rsidRPr="004F0F01" w:rsidRDefault="005610FE" w:rsidP="005679DA">
      <w:pPr>
        <w:pStyle w:val="Heading2"/>
      </w:pPr>
      <w:r w:rsidRPr="004F0F01">
        <w:t>Methods</w:t>
      </w:r>
    </w:p>
    <w:p w14:paraId="48666E06" w14:textId="2CD38CB6" w:rsidR="007F6FE4" w:rsidRPr="00F27756" w:rsidRDefault="00D545CE" w:rsidP="00D901B9">
      <w:r w:rsidRPr="00F27756">
        <w:t>A</w:t>
      </w:r>
      <w:r w:rsidR="00BE455E" w:rsidRPr="00F27756">
        <w:t xml:space="preserve">n integrative review </w:t>
      </w:r>
      <w:r w:rsidRPr="00F27756">
        <w:t xml:space="preserve">has been chosen </w:t>
      </w:r>
      <w:r w:rsidR="002B1DD1" w:rsidRPr="00F27756">
        <w:t xml:space="preserve">for this study as it allows </w:t>
      </w:r>
      <w:r w:rsidR="003B5307" w:rsidRPr="00F27756">
        <w:t xml:space="preserve">for </w:t>
      </w:r>
      <w:r w:rsidR="002B1DD1" w:rsidRPr="00F27756">
        <w:t xml:space="preserve">a review </w:t>
      </w:r>
      <w:r w:rsidR="00B8184C" w:rsidRPr="00F27756">
        <w:t xml:space="preserve">and synthesis of qualitative, </w:t>
      </w:r>
      <w:r w:rsidR="004274D1" w:rsidRPr="00F27756">
        <w:t>quantitative,</w:t>
      </w:r>
      <w:r w:rsidR="00B8184C" w:rsidRPr="00F27756">
        <w:t xml:space="preserve"> </w:t>
      </w:r>
      <w:r w:rsidR="0068737F" w:rsidRPr="00F27756">
        <w:t xml:space="preserve">and </w:t>
      </w:r>
      <w:r w:rsidR="00B8184C" w:rsidRPr="00F27756">
        <w:t xml:space="preserve">mixed methodology </w:t>
      </w:r>
      <w:r w:rsidR="00642EA6" w:rsidRPr="00F27756">
        <w:t>research</w:t>
      </w:r>
      <w:r w:rsidR="004274D1" w:rsidRPr="00F27756">
        <w:t xml:space="preserve"> </w:t>
      </w:r>
      <w:r w:rsidR="0068737F" w:rsidRPr="00F27756">
        <w:t xml:space="preserve">or theoretical studies focusing on </w:t>
      </w:r>
      <w:r w:rsidR="000B0D86" w:rsidRPr="00F27756">
        <w:t>certain topics</w:t>
      </w:r>
      <w:r w:rsidR="006C31CF" w:rsidRPr="00F27756">
        <w:t xml:space="preserve"> (Toronto &amp; Remington, 2020</w:t>
      </w:r>
      <w:r w:rsidR="00727875" w:rsidRPr="00F27756">
        <w:t>; W</w:t>
      </w:r>
      <w:r w:rsidR="00642EA6" w:rsidRPr="00F27756">
        <w:t>h</w:t>
      </w:r>
      <w:r w:rsidR="00727875" w:rsidRPr="00F27756">
        <w:t>ittemore</w:t>
      </w:r>
      <w:r w:rsidR="00642EA6" w:rsidRPr="00F27756">
        <w:t xml:space="preserve"> et al., 2014</w:t>
      </w:r>
      <w:r w:rsidR="006C31CF" w:rsidRPr="00F27756">
        <w:t>)</w:t>
      </w:r>
      <w:r w:rsidR="0058136F" w:rsidRPr="00F27756">
        <w:t xml:space="preserve">. </w:t>
      </w:r>
      <w:r w:rsidR="00CD2EFC" w:rsidRPr="00F27756">
        <w:t>A</w:t>
      </w:r>
      <w:r w:rsidR="00265EA2" w:rsidRPr="00F27756">
        <w:t xml:space="preserve"> significant advantage of this review method is th</w:t>
      </w:r>
      <w:r w:rsidR="00D23383" w:rsidRPr="00F27756">
        <w:t>at the researche</w:t>
      </w:r>
      <w:r w:rsidR="00E53A89" w:rsidRPr="00F27756">
        <w:t>r</w:t>
      </w:r>
      <w:r w:rsidR="00D23383" w:rsidRPr="00F27756">
        <w:t xml:space="preserve">s </w:t>
      </w:r>
      <w:r w:rsidR="00211712" w:rsidRPr="00F27756">
        <w:t xml:space="preserve">can draw conclusions from a </w:t>
      </w:r>
      <w:r w:rsidR="00D23383" w:rsidRPr="00F27756">
        <w:t xml:space="preserve">variety of </w:t>
      </w:r>
      <w:r w:rsidR="00211712" w:rsidRPr="00F27756">
        <w:t xml:space="preserve">sources </w:t>
      </w:r>
      <w:r w:rsidR="00CF60AE" w:rsidRPr="00F27756">
        <w:t xml:space="preserve">for gaining a holistic understanding of </w:t>
      </w:r>
      <w:r w:rsidR="0029610A" w:rsidRPr="00F27756">
        <w:t xml:space="preserve">the </w:t>
      </w:r>
      <w:r w:rsidR="008D5041" w:rsidRPr="00F27756">
        <w:t>social phenomenon being investigated</w:t>
      </w:r>
      <w:r w:rsidR="007C43DE" w:rsidRPr="00F27756">
        <w:t xml:space="preserve">, which </w:t>
      </w:r>
      <w:r w:rsidR="006D65E4" w:rsidRPr="00F27756">
        <w:t xml:space="preserve">implies that the </w:t>
      </w:r>
      <w:r w:rsidR="00833055" w:rsidRPr="00F27756">
        <w:t xml:space="preserve">research question for </w:t>
      </w:r>
      <w:r w:rsidR="00237A51" w:rsidRPr="00F27756">
        <w:t>the</w:t>
      </w:r>
      <w:r w:rsidR="00833055" w:rsidRPr="00F27756">
        <w:t xml:space="preserve"> review can be </w:t>
      </w:r>
      <w:r w:rsidR="00C40D11" w:rsidRPr="00F27756">
        <w:t xml:space="preserve">broadly framed rather than </w:t>
      </w:r>
      <w:r w:rsidR="00F04AED" w:rsidRPr="00F27756">
        <w:t xml:space="preserve">the </w:t>
      </w:r>
      <w:r w:rsidR="00C40D11" w:rsidRPr="00F27756">
        <w:t xml:space="preserve">siloed </w:t>
      </w:r>
      <w:r w:rsidR="00F04AED" w:rsidRPr="00F27756">
        <w:t xml:space="preserve">approaches </w:t>
      </w:r>
      <w:r w:rsidR="00231BA9" w:rsidRPr="00F27756">
        <w:t xml:space="preserve">prevalent in systematic reviews such as </w:t>
      </w:r>
      <w:r w:rsidR="00BB6C98" w:rsidRPr="00F27756">
        <w:t>the use of a single clinical question (</w:t>
      </w:r>
      <w:r w:rsidR="00C77972" w:rsidRPr="00F27756">
        <w:t>Sim, He &amp; Dominelli, 2022</w:t>
      </w:r>
      <w:r w:rsidR="00B66AB9" w:rsidRPr="00F27756">
        <w:t>; Toronto &amp; Remington, 2020</w:t>
      </w:r>
      <w:r w:rsidR="0042204D" w:rsidRPr="00F27756">
        <w:t xml:space="preserve">). </w:t>
      </w:r>
      <w:r w:rsidR="00114C03" w:rsidRPr="00F27756">
        <w:t>An integrative review</w:t>
      </w:r>
      <w:r w:rsidR="00262705" w:rsidRPr="00F27756">
        <w:t xml:space="preserve"> </w:t>
      </w:r>
      <w:r w:rsidR="0004339E" w:rsidRPr="00F27756">
        <w:t>method was suitable for our broadly framed research question</w:t>
      </w:r>
      <w:r w:rsidR="00F215CF">
        <w:t>,</w:t>
      </w:r>
      <w:r w:rsidR="00527C6D" w:rsidRPr="00F27756">
        <w:t xml:space="preserve"> </w:t>
      </w:r>
      <w:r w:rsidR="00F215CF">
        <w:t>‘</w:t>
      </w:r>
      <w:r w:rsidR="00527C6D" w:rsidRPr="00F215CF">
        <w:t xml:space="preserve">what themes can be </w:t>
      </w:r>
      <w:r w:rsidR="00D31A69" w:rsidRPr="00F215CF">
        <w:t xml:space="preserve">found in the Australian studies on </w:t>
      </w:r>
      <w:r w:rsidR="001042AF" w:rsidRPr="00F215CF">
        <w:t>safety issues for women experiencing intimate partner violence?</w:t>
      </w:r>
      <w:r w:rsidR="00F215CF">
        <w:t>’</w:t>
      </w:r>
      <w:r w:rsidR="001042AF" w:rsidRPr="00F27756">
        <w:rPr>
          <w:i/>
          <w:iCs/>
        </w:rPr>
        <w:t xml:space="preserve"> </w:t>
      </w:r>
      <w:r w:rsidR="00EB6D0E" w:rsidRPr="00F27756">
        <w:t xml:space="preserve">Other review methods such as </w:t>
      </w:r>
      <w:r w:rsidR="000E03FD" w:rsidRPr="00F27756">
        <w:t>narrative review</w:t>
      </w:r>
      <w:r w:rsidR="00CE75C2" w:rsidRPr="00F27756">
        <w:t>s</w:t>
      </w:r>
      <w:r w:rsidR="000E03FD" w:rsidRPr="00F27756">
        <w:t xml:space="preserve"> </w:t>
      </w:r>
      <w:r w:rsidR="00AF2528" w:rsidRPr="00F27756">
        <w:t>or scoping review</w:t>
      </w:r>
      <w:r w:rsidR="00CE75C2" w:rsidRPr="00F27756">
        <w:t>s</w:t>
      </w:r>
      <w:r w:rsidR="00AF2528" w:rsidRPr="00F27756">
        <w:t xml:space="preserve"> </w:t>
      </w:r>
      <w:r w:rsidR="00AB5328" w:rsidRPr="00F27756">
        <w:t xml:space="preserve">are limited in their </w:t>
      </w:r>
      <w:r w:rsidR="00D97F49" w:rsidRPr="00F27756">
        <w:t xml:space="preserve">ability to provide a comprehensive overview and a fuller understanding </w:t>
      </w:r>
      <w:r w:rsidR="000132CC" w:rsidRPr="00F27756">
        <w:t>of th</w:t>
      </w:r>
      <w:r w:rsidR="003B081E" w:rsidRPr="00F27756">
        <w:t>is</w:t>
      </w:r>
      <w:r w:rsidR="000132CC" w:rsidRPr="00F27756">
        <w:t xml:space="preserve"> complex issue </w:t>
      </w:r>
      <w:r w:rsidR="00686FFA" w:rsidRPr="00F27756">
        <w:t>as narrative reviews can be ad</w:t>
      </w:r>
      <w:r w:rsidR="00DF4BA5" w:rsidRPr="00F27756">
        <w:t>-hoc in validity and reliability due to a lack of transparency in the review process (Kiteley &amp; Stogdon, 2013</w:t>
      </w:r>
      <w:r w:rsidR="00FC7038" w:rsidRPr="00F27756">
        <w:t>) and scoping review</w:t>
      </w:r>
      <w:r w:rsidR="007E0D2B" w:rsidRPr="00F27756">
        <w:t>s</w:t>
      </w:r>
      <w:r w:rsidR="00FC7038" w:rsidRPr="00F27756">
        <w:t xml:space="preserve"> merely </w:t>
      </w:r>
      <w:r w:rsidR="007E0D2B" w:rsidRPr="00F27756">
        <w:t xml:space="preserve">help with the identification of </w:t>
      </w:r>
      <w:r w:rsidR="002666DF" w:rsidRPr="00F27756">
        <w:t xml:space="preserve">the nature and size of available research evidence without adequate synthesis </w:t>
      </w:r>
      <w:r w:rsidR="0070216E" w:rsidRPr="00F27756">
        <w:t xml:space="preserve">(Sim, He &amp; Dominelli, 2022). </w:t>
      </w:r>
      <w:r w:rsidR="000678BB" w:rsidRPr="00F27756">
        <w:t xml:space="preserve">Integrative reviews </w:t>
      </w:r>
      <w:r w:rsidR="00980826" w:rsidRPr="00F27756">
        <w:t xml:space="preserve">are robust, </w:t>
      </w:r>
      <w:r w:rsidR="00AE6CEA" w:rsidRPr="00F27756">
        <w:t>systematic,</w:t>
      </w:r>
      <w:r w:rsidR="00980826" w:rsidRPr="00F27756">
        <w:t xml:space="preserve"> and sophisticated in </w:t>
      </w:r>
      <w:r w:rsidR="00871772" w:rsidRPr="00F27756">
        <w:t xml:space="preserve">its approach to sample selection, screening, </w:t>
      </w:r>
      <w:r w:rsidR="00CE4DF6" w:rsidRPr="00F27756">
        <w:t xml:space="preserve">and synthesis of findings (Noble &amp; Smith, 2018). </w:t>
      </w:r>
    </w:p>
    <w:p w14:paraId="4C4B4C6D" w14:textId="08E39E40" w:rsidR="00BA2C40" w:rsidRPr="00F27756" w:rsidRDefault="00BA2C40" w:rsidP="00D901B9">
      <w:r w:rsidRPr="00F27756">
        <w:t xml:space="preserve">Data for this study used published peer-reviewed journal articles from scholarly </w:t>
      </w:r>
      <w:r w:rsidR="00F51A07" w:rsidRPr="00F27756">
        <w:t xml:space="preserve">journals </w:t>
      </w:r>
      <w:r w:rsidRPr="00F27756">
        <w:t xml:space="preserve">and grey literature that were outcomes of quantitative, </w:t>
      </w:r>
      <w:proofErr w:type="gramStart"/>
      <w:r w:rsidRPr="00F27756">
        <w:t>qualitative</w:t>
      </w:r>
      <w:proofErr w:type="gramEnd"/>
      <w:r w:rsidRPr="00F27756">
        <w:t xml:space="preserve"> or mixed-method studies. A combination of keywords was used across multiple databases to collect data</w:t>
      </w:r>
      <w:r w:rsidR="00C23A6C" w:rsidRPr="00F27756">
        <w:t xml:space="preserve">. </w:t>
      </w:r>
      <w:r w:rsidR="00581515" w:rsidRPr="00F27756">
        <w:t>S</w:t>
      </w:r>
      <w:r w:rsidRPr="00F27756">
        <w:t xml:space="preserve">earch filters </w:t>
      </w:r>
      <w:r w:rsidR="00720682" w:rsidRPr="00F27756">
        <w:t>were used to</w:t>
      </w:r>
      <w:r w:rsidRPr="00F27756">
        <w:t xml:space="preserve"> generate only Australian peer-reviewed studies written in English from the last ten years. The databases used were Australian Indigenous </w:t>
      </w:r>
      <w:proofErr w:type="spellStart"/>
      <w:r w:rsidRPr="00F27756">
        <w:t>HealthInfoNet</w:t>
      </w:r>
      <w:proofErr w:type="spellEnd"/>
      <w:r w:rsidRPr="00F27756">
        <w:t xml:space="preserve">, Health and Society Database, </w:t>
      </w:r>
      <w:proofErr w:type="spellStart"/>
      <w:r w:rsidRPr="00F27756">
        <w:t>Informit</w:t>
      </w:r>
      <w:proofErr w:type="spellEnd"/>
      <w:r w:rsidRPr="00F27756">
        <w:t xml:space="preserve">, ProQuest, ECU </w:t>
      </w:r>
      <w:proofErr w:type="spellStart"/>
      <w:r w:rsidRPr="00F27756">
        <w:t>Worldsearch</w:t>
      </w:r>
      <w:proofErr w:type="spellEnd"/>
      <w:r w:rsidRPr="00F27756">
        <w:t xml:space="preserve">, ANROWS and AIHW. Combinations of keywords </w:t>
      </w:r>
      <w:r w:rsidRPr="00D16F06">
        <w:rPr>
          <w:color w:val="auto"/>
        </w:rPr>
        <w:t>searched</w:t>
      </w:r>
      <w:r w:rsidR="007067C9" w:rsidRPr="00D16F06">
        <w:rPr>
          <w:color w:val="auto"/>
        </w:rPr>
        <w:t xml:space="preserve"> with and without asterisk</w:t>
      </w:r>
      <w:r w:rsidRPr="00D16F06">
        <w:rPr>
          <w:color w:val="auto"/>
        </w:rPr>
        <w:t xml:space="preserve"> </w:t>
      </w:r>
      <w:r w:rsidRPr="00F27756">
        <w:t xml:space="preserve">included “family AND domestic violence”, “family OR </w:t>
      </w:r>
      <w:r w:rsidRPr="00D16F06">
        <w:t xml:space="preserve">domestic violence”, “intimate partner violence AND safety concerns”, “women experiencing intimate partner violence”, “intimate partner violence*”, “family and domestic violence*”, “domestic violence and family safety”, “intimate partner violence* AND safety*”, “harm caused by intimate partner violence*”, "family and domestic violence*" AND safety”, “women’s safety*”, “family and domestic violence and safety”, “intimate partner violence”, “women’s safety issues”, and “improving women’s safety around domestic violence”. This resulted in a total of 3478 articles across all databases searched. The articles whose abstracts fit the inclusion and exclusion criteria </w:t>
      </w:r>
      <w:r w:rsidR="00A65D98" w:rsidRPr="00D16F06">
        <w:t xml:space="preserve">listed below </w:t>
      </w:r>
      <w:r w:rsidRPr="00D16F06">
        <w:t>were recorded and later read more in-depth, with any duplicates removed. This scanning</w:t>
      </w:r>
      <w:r w:rsidRPr="00F27756">
        <w:t xml:space="preserve"> process resulted in </w:t>
      </w:r>
      <w:r w:rsidR="00066C23" w:rsidRPr="00F27756">
        <w:t xml:space="preserve">the </w:t>
      </w:r>
      <w:r w:rsidR="009F6230" w:rsidRPr="00F27756">
        <w:t xml:space="preserve">selection </w:t>
      </w:r>
      <w:r w:rsidR="00066C23" w:rsidRPr="00F27756">
        <w:t xml:space="preserve">of </w:t>
      </w:r>
      <w:r w:rsidR="007B05CA">
        <w:t>thirty-two</w:t>
      </w:r>
      <w:r w:rsidR="007B05CA" w:rsidRPr="00F27756">
        <w:t xml:space="preserve"> </w:t>
      </w:r>
      <w:r w:rsidR="009F6230" w:rsidRPr="00F27756">
        <w:t>articles</w:t>
      </w:r>
      <w:r w:rsidR="00035149" w:rsidRPr="00F27756">
        <w:t xml:space="preserve">. </w:t>
      </w:r>
      <w:r w:rsidR="00A07FF1" w:rsidRPr="00F27756">
        <w:t xml:space="preserve">Further </w:t>
      </w:r>
      <w:r w:rsidR="00BD5F0D" w:rsidRPr="00F27756">
        <w:t xml:space="preserve">screening and </w:t>
      </w:r>
      <w:r w:rsidR="00A07FF1" w:rsidRPr="00F27756">
        <w:t xml:space="preserve">evaluation of </w:t>
      </w:r>
      <w:r w:rsidR="008535A6" w:rsidRPr="00F27756">
        <w:t xml:space="preserve">the selected articles using </w:t>
      </w:r>
      <w:r w:rsidR="00BD5F0D" w:rsidRPr="00F27756">
        <w:t>the CRAAP test resulted</w:t>
      </w:r>
      <w:r w:rsidRPr="00F27756">
        <w:t xml:space="preserve"> in ten articles being </w:t>
      </w:r>
      <w:r w:rsidR="0067264D">
        <w:t>suitable</w:t>
      </w:r>
      <w:r w:rsidRPr="00F27756">
        <w:t xml:space="preserve"> for the integrative review. CRAAP is an acronym for currency, relevance, authority, </w:t>
      </w:r>
      <w:proofErr w:type="gramStart"/>
      <w:r w:rsidRPr="00F27756">
        <w:t>accuracy</w:t>
      </w:r>
      <w:proofErr w:type="gramEnd"/>
      <w:r w:rsidRPr="00F27756">
        <w:t xml:space="preserve"> and purpose, and using the CRAAP evaluation tool ensured a robust process of evaluating and choosing quality literature (Edith Cowan University [ECU], 2022). </w:t>
      </w:r>
    </w:p>
    <w:p w14:paraId="58C5A109" w14:textId="330BA82C" w:rsidR="009D796D" w:rsidRPr="004F0F01" w:rsidRDefault="009D796D" w:rsidP="00B836E7">
      <w:pPr>
        <w:pStyle w:val="BodyText"/>
        <w:spacing w:line="240" w:lineRule="auto"/>
        <w:rPr>
          <w:b/>
          <w:bCs/>
        </w:rPr>
      </w:pPr>
    </w:p>
    <w:tbl>
      <w:tblPr>
        <w:tblStyle w:val="TableGrid"/>
        <w:tblW w:w="0" w:type="auto"/>
        <w:tblLook w:val="04A0" w:firstRow="1" w:lastRow="0" w:firstColumn="1" w:lastColumn="0" w:noHBand="0" w:noVBand="1"/>
      </w:tblPr>
      <w:tblGrid>
        <w:gridCol w:w="4508"/>
        <w:gridCol w:w="4508"/>
      </w:tblGrid>
      <w:tr w:rsidR="004F0F01" w:rsidRPr="004F0F01" w14:paraId="7C980383" w14:textId="77777777" w:rsidTr="00E924DD">
        <w:tc>
          <w:tcPr>
            <w:tcW w:w="4508" w:type="dxa"/>
            <w:tcBorders>
              <w:left w:val="nil"/>
              <w:bottom w:val="single" w:sz="4" w:space="0" w:color="auto"/>
              <w:right w:val="nil"/>
            </w:tcBorders>
          </w:tcPr>
          <w:p w14:paraId="30BFAFA9" w14:textId="77777777" w:rsidR="009D796D" w:rsidRPr="004F0F01" w:rsidRDefault="009D796D" w:rsidP="00B836E7">
            <w:pPr>
              <w:pStyle w:val="BodyText"/>
              <w:spacing w:line="240" w:lineRule="auto"/>
              <w:jc w:val="center"/>
              <w:rPr>
                <w:b/>
                <w:bCs/>
              </w:rPr>
            </w:pPr>
            <w:r w:rsidRPr="004F0F01">
              <w:rPr>
                <w:b/>
                <w:bCs/>
              </w:rPr>
              <w:t>Inclusion</w:t>
            </w:r>
          </w:p>
        </w:tc>
        <w:tc>
          <w:tcPr>
            <w:tcW w:w="4508" w:type="dxa"/>
            <w:tcBorders>
              <w:left w:val="nil"/>
              <w:bottom w:val="single" w:sz="4" w:space="0" w:color="auto"/>
              <w:right w:val="nil"/>
            </w:tcBorders>
          </w:tcPr>
          <w:p w14:paraId="44C2B49F" w14:textId="77777777" w:rsidR="009D796D" w:rsidRPr="004F0F01" w:rsidRDefault="009D796D" w:rsidP="00B836E7">
            <w:pPr>
              <w:pStyle w:val="BodyText"/>
              <w:spacing w:line="240" w:lineRule="auto"/>
              <w:jc w:val="center"/>
              <w:rPr>
                <w:b/>
                <w:bCs/>
              </w:rPr>
            </w:pPr>
            <w:r w:rsidRPr="004F0F01">
              <w:rPr>
                <w:b/>
                <w:bCs/>
              </w:rPr>
              <w:t>Exclusion</w:t>
            </w:r>
          </w:p>
        </w:tc>
      </w:tr>
      <w:tr w:rsidR="004F0F01" w:rsidRPr="004F0F01" w14:paraId="60CEBD4D" w14:textId="77777777" w:rsidTr="00E924DD">
        <w:tc>
          <w:tcPr>
            <w:tcW w:w="4508" w:type="dxa"/>
            <w:tcBorders>
              <w:left w:val="nil"/>
              <w:bottom w:val="nil"/>
              <w:right w:val="nil"/>
            </w:tcBorders>
          </w:tcPr>
          <w:p w14:paraId="6ECBAAEE" w14:textId="77777777" w:rsidR="009D796D" w:rsidRPr="004F0F01" w:rsidRDefault="009D796D" w:rsidP="00B836E7">
            <w:pPr>
              <w:pStyle w:val="BodyText"/>
              <w:spacing w:line="240" w:lineRule="auto"/>
            </w:pPr>
            <w:r w:rsidRPr="004F0F01">
              <w:t>Australian Studies or documents relating to IPV, FDV or DV</w:t>
            </w:r>
          </w:p>
        </w:tc>
        <w:tc>
          <w:tcPr>
            <w:tcW w:w="4508" w:type="dxa"/>
            <w:tcBorders>
              <w:left w:val="nil"/>
              <w:bottom w:val="nil"/>
              <w:right w:val="nil"/>
            </w:tcBorders>
          </w:tcPr>
          <w:p w14:paraId="16694D7F" w14:textId="77777777" w:rsidR="009D796D" w:rsidRPr="004F0F01" w:rsidRDefault="009D796D" w:rsidP="00B836E7">
            <w:pPr>
              <w:pStyle w:val="BodyText"/>
              <w:spacing w:line="240" w:lineRule="auto"/>
            </w:pPr>
            <w:r w:rsidRPr="004F0F01">
              <w:t>International studies</w:t>
            </w:r>
          </w:p>
        </w:tc>
      </w:tr>
      <w:tr w:rsidR="004F0F01" w:rsidRPr="004F0F01" w14:paraId="6F4CC243" w14:textId="77777777" w:rsidTr="00E924DD">
        <w:tc>
          <w:tcPr>
            <w:tcW w:w="4508" w:type="dxa"/>
            <w:tcBorders>
              <w:top w:val="nil"/>
              <w:left w:val="nil"/>
              <w:bottom w:val="nil"/>
              <w:right w:val="nil"/>
            </w:tcBorders>
          </w:tcPr>
          <w:p w14:paraId="76412DB4" w14:textId="77777777" w:rsidR="009D796D" w:rsidRPr="004F0F01" w:rsidRDefault="009D796D" w:rsidP="00B836E7">
            <w:pPr>
              <w:pStyle w:val="BodyText"/>
              <w:spacing w:line="240" w:lineRule="auto"/>
            </w:pPr>
            <w:r w:rsidRPr="004F0F01">
              <w:t>Studies wrote in English</w:t>
            </w:r>
          </w:p>
        </w:tc>
        <w:tc>
          <w:tcPr>
            <w:tcW w:w="4508" w:type="dxa"/>
            <w:tcBorders>
              <w:top w:val="nil"/>
              <w:left w:val="nil"/>
              <w:bottom w:val="nil"/>
              <w:right w:val="nil"/>
            </w:tcBorders>
          </w:tcPr>
          <w:p w14:paraId="3D834076" w14:textId="77777777" w:rsidR="009D796D" w:rsidRPr="004F0F01" w:rsidRDefault="009D796D" w:rsidP="00B836E7">
            <w:pPr>
              <w:pStyle w:val="BodyText"/>
              <w:spacing w:line="240" w:lineRule="auto"/>
            </w:pPr>
            <w:r w:rsidRPr="004F0F01">
              <w:t>Studies that are not written in English</w:t>
            </w:r>
          </w:p>
        </w:tc>
      </w:tr>
      <w:tr w:rsidR="004F0F01" w:rsidRPr="004F0F01" w14:paraId="4D069DC6" w14:textId="77777777" w:rsidTr="00E924DD">
        <w:tc>
          <w:tcPr>
            <w:tcW w:w="4508" w:type="dxa"/>
            <w:tcBorders>
              <w:top w:val="nil"/>
              <w:left w:val="nil"/>
              <w:bottom w:val="nil"/>
              <w:right w:val="nil"/>
            </w:tcBorders>
          </w:tcPr>
          <w:p w14:paraId="6EC5648C" w14:textId="77777777" w:rsidR="009D796D" w:rsidRPr="004F0F01" w:rsidRDefault="009D796D" w:rsidP="00B836E7">
            <w:pPr>
              <w:pStyle w:val="BodyText"/>
              <w:spacing w:line="240" w:lineRule="auto"/>
            </w:pPr>
            <w:r w:rsidRPr="004F0F01">
              <w:t>Highly related to women’s perspective of IPV and safety concerns</w:t>
            </w:r>
          </w:p>
        </w:tc>
        <w:tc>
          <w:tcPr>
            <w:tcW w:w="4508" w:type="dxa"/>
            <w:tcBorders>
              <w:top w:val="nil"/>
              <w:left w:val="nil"/>
              <w:bottom w:val="nil"/>
              <w:right w:val="nil"/>
            </w:tcBorders>
          </w:tcPr>
          <w:p w14:paraId="25AF3164" w14:textId="77777777" w:rsidR="009D796D" w:rsidRPr="004F0F01" w:rsidRDefault="009D796D" w:rsidP="00B836E7">
            <w:pPr>
              <w:pStyle w:val="BodyText"/>
              <w:spacing w:line="240" w:lineRule="auto"/>
            </w:pPr>
            <w:r w:rsidRPr="004F0F01">
              <w:t>Studies that focus on men’s perspectives of IPV safety issues</w:t>
            </w:r>
          </w:p>
        </w:tc>
      </w:tr>
      <w:tr w:rsidR="004F0F01" w:rsidRPr="004F0F01" w14:paraId="19C274D8" w14:textId="77777777" w:rsidTr="00E924DD">
        <w:tc>
          <w:tcPr>
            <w:tcW w:w="4508" w:type="dxa"/>
            <w:tcBorders>
              <w:top w:val="nil"/>
              <w:left w:val="nil"/>
              <w:bottom w:val="nil"/>
              <w:right w:val="nil"/>
            </w:tcBorders>
          </w:tcPr>
          <w:p w14:paraId="11DF839C" w14:textId="77777777" w:rsidR="009D796D" w:rsidRPr="004F0F01" w:rsidRDefault="009D796D" w:rsidP="00B836E7">
            <w:pPr>
              <w:pStyle w:val="BodyText"/>
              <w:spacing w:line="240" w:lineRule="auto"/>
            </w:pPr>
            <w:r w:rsidRPr="004F0F01">
              <w:t>Peer reviewed</w:t>
            </w:r>
          </w:p>
        </w:tc>
        <w:tc>
          <w:tcPr>
            <w:tcW w:w="4508" w:type="dxa"/>
            <w:tcBorders>
              <w:top w:val="nil"/>
              <w:left w:val="nil"/>
              <w:bottom w:val="nil"/>
              <w:right w:val="nil"/>
            </w:tcBorders>
          </w:tcPr>
          <w:p w14:paraId="46C8A082" w14:textId="77777777" w:rsidR="009D796D" w:rsidRPr="004F0F01" w:rsidRDefault="009D796D" w:rsidP="00B836E7">
            <w:pPr>
              <w:pStyle w:val="BodyText"/>
              <w:spacing w:line="240" w:lineRule="auto"/>
            </w:pPr>
            <w:r w:rsidRPr="004F0F01">
              <w:t>Studies that focus on children’s perspectives of IPV and safety issues</w:t>
            </w:r>
          </w:p>
        </w:tc>
      </w:tr>
      <w:tr w:rsidR="004F0F01" w:rsidRPr="004F0F01" w14:paraId="018CDC54" w14:textId="77777777" w:rsidTr="00E924DD">
        <w:tc>
          <w:tcPr>
            <w:tcW w:w="4508" w:type="dxa"/>
            <w:tcBorders>
              <w:top w:val="nil"/>
              <w:left w:val="nil"/>
              <w:bottom w:val="nil"/>
              <w:right w:val="nil"/>
            </w:tcBorders>
          </w:tcPr>
          <w:p w14:paraId="54093F3C" w14:textId="77777777" w:rsidR="009D796D" w:rsidRPr="004F0F01" w:rsidRDefault="009D796D" w:rsidP="00B836E7">
            <w:pPr>
              <w:pStyle w:val="BodyText"/>
              <w:spacing w:line="240" w:lineRule="auto"/>
            </w:pPr>
            <w:r w:rsidRPr="004F0F01">
              <w:t>Qualitative, quantitative, and mixed-method studies</w:t>
            </w:r>
          </w:p>
        </w:tc>
        <w:tc>
          <w:tcPr>
            <w:tcW w:w="4508" w:type="dxa"/>
            <w:tcBorders>
              <w:top w:val="nil"/>
              <w:left w:val="nil"/>
              <w:bottom w:val="nil"/>
              <w:right w:val="nil"/>
            </w:tcBorders>
          </w:tcPr>
          <w:p w14:paraId="01CBC68E" w14:textId="77777777" w:rsidR="009D796D" w:rsidRPr="004F0F01" w:rsidRDefault="009D796D" w:rsidP="00B836E7">
            <w:pPr>
              <w:pStyle w:val="BodyText"/>
              <w:spacing w:line="240" w:lineRule="auto"/>
            </w:pPr>
            <w:r w:rsidRPr="004F0F01">
              <w:t>News or book articles</w:t>
            </w:r>
          </w:p>
        </w:tc>
      </w:tr>
      <w:tr w:rsidR="004F0F01" w:rsidRPr="004F0F01" w14:paraId="1EF74541" w14:textId="77777777" w:rsidTr="00E924DD">
        <w:tc>
          <w:tcPr>
            <w:tcW w:w="4508" w:type="dxa"/>
            <w:tcBorders>
              <w:top w:val="nil"/>
              <w:left w:val="nil"/>
              <w:bottom w:val="nil"/>
              <w:right w:val="nil"/>
            </w:tcBorders>
          </w:tcPr>
          <w:p w14:paraId="13ED327A" w14:textId="77777777" w:rsidR="009D796D" w:rsidRPr="004F0F01" w:rsidRDefault="009D796D" w:rsidP="00B836E7">
            <w:pPr>
              <w:pStyle w:val="BodyText"/>
              <w:spacing w:line="240" w:lineRule="auto"/>
            </w:pPr>
            <w:r w:rsidRPr="004F0F01">
              <w:t>Scholarly and Grey data</w:t>
            </w:r>
          </w:p>
        </w:tc>
        <w:tc>
          <w:tcPr>
            <w:tcW w:w="4508" w:type="dxa"/>
            <w:tcBorders>
              <w:top w:val="nil"/>
              <w:left w:val="nil"/>
              <w:bottom w:val="nil"/>
              <w:right w:val="nil"/>
            </w:tcBorders>
          </w:tcPr>
          <w:p w14:paraId="0DB62006" w14:textId="77777777" w:rsidR="009D796D" w:rsidRPr="004F0F01" w:rsidRDefault="009D796D" w:rsidP="00B836E7">
            <w:pPr>
              <w:pStyle w:val="BodyText"/>
              <w:spacing w:line="240" w:lineRule="auto"/>
            </w:pPr>
            <w:r w:rsidRPr="004F0F01">
              <w:t>Studies that aim to improve police interventions and assessment tools</w:t>
            </w:r>
          </w:p>
        </w:tc>
      </w:tr>
      <w:tr w:rsidR="004F0F01" w:rsidRPr="004F0F01" w14:paraId="59E6CF3A" w14:textId="77777777" w:rsidTr="00E924DD">
        <w:tc>
          <w:tcPr>
            <w:tcW w:w="4508" w:type="dxa"/>
            <w:tcBorders>
              <w:top w:val="nil"/>
              <w:left w:val="nil"/>
              <w:bottom w:val="nil"/>
              <w:right w:val="nil"/>
            </w:tcBorders>
          </w:tcPr>
          <w:p w14:paraId="0F2887B1" w14:textId="77777777" w:rsidR="009D796D" w:rsidRPr="004F0F01" w:rsidRDefault="009D796D" w:rsidP="00B836E7">
            <w:pPr>
              <w:pStyle w:val="BodyText"/>
              <w:spacing w:line="240" w:lineRule="auto"/>
            </w:pPr>
            <w:r w:rsidRPr="004F0F01">
              <w:t>Studies from the last ten years</w:t>
            </w:r>
          </w:p>
        </w:tc>
        <w:tc>
          <w:tcPr>
            <w:tcW w:w="4508" w:type="dxa"/>
            <w:tcBorders>
              <w:top w:val="nil"/>
              <w:left w:val="nil"/>
              <w:bottom w:val="nil"/>
              <w:right w:val="nil"/>
            </w:tcBorders>
          </w:tcPr>
          <w:p w14:paraId="20EA5C62" w14:textId="77777777" w:rsidR="009D796D" w:rsidRPr="004F0F01" w:rsidRDefault="009D796D" w:rsidP="00B836E7">
            <w:pPr>
              <w:pStyle w:val="BodyText"/>
              <w:spacing w:line="240" w:lineRule="auto"/>
            </w:pPr>
            <w:r w:rsidRPr="004F0F01">
              <w:t>Studies older than ten years</w:t>
            </w:r>
          </w:p>
        </w:tc>
      </w:tr>
      <w:tr w:rsidR="004F0F01" w:rsidRPr="004F0F01" w14:paraId="0D8B8766" w14:textId="77777777" w:rsidTr="00E924DD">
        <w:tc>
          <w:tcPr>
            <w:tcW w:w="4508" w:type="dxa"/>
            <w:tcBorders>
              <w:top w:val="nil"/>
              <w:left w:val="nil"/>
              <w:right w:val="nil"/>
            </w:tcBorders>
          </w:tcPr>
          <w:p w14:paraId="06A8C3AF" w14:textId="77777777" w:rsidR="009D796D" w:rsidRPr="004F0F01" w:rsidRDefault="009D796D" w:rsidP="00B836E7">
            <w:pPr>
              <w:pStyle w:val="BodyText"/>
              <w:spacing w:line="240" w:lineRule="auto"/>
            </w:pPr>
          </w:p>
        </w:tc>
        <w:tc>
          <w:tcPr>
            <w:tcW w:w="4508" w:type="dxa"/>
            <w:tcBorders>
              <w:top w:val="nil"/>
              <w:left w:val="nil"/>
              <w:right w:val="nil"/>
            </w:tcBorders>
          </w:tcPr>
          <w:p w14:paraId="1367BB5C" w14:textId="77777777" w:rsidR="009D796D" w:rsidRPr="004F0F01" w:rsidRDefault="009D796D" w:rsidP="00B836E7">
            <w:pPr>
              <w:pStyle w:val="BodyText"/>
              <w:spacing w:line="240" w:lineRule="auto"/>
            </w:pPr>
            <w:r w:rsidRPr="004F0F01">
              <w:t>Family violence that involves parent/child or non-intimate adult relationships.</w:t>
            </w:r>
          </w:p>
        </w:tc>
      </w:tr>
    </w:tbl>
    <w:p w14:paraId="7EDDD733" w14:textId="6503187F" w:rsidR="00D30FC8" w:rsidRPr="00017A00" w:rsidRDefault="004B5393" w:rsidP="00017A00">
      <w:pPr>
        <w:pStyle w:val="BodyText"/>
        <w:spacing w:line="240" w:lineRule="auto"/>
        <w:jc w:val="center"/>
        <w:rPr>
          <w:szCs w:val="24"/>
        </w:rPr>
      </w:pPr>
      <w:r w:rsidRPr="00017A00">
        <w:rPr>
          <w:szCs w:val="24"/>
        </w:rPr>
        <w:t>Figure 1: Inclusion and exclusion criteria</w:t>
      </w:r>
    </w:p>
    <w:p w14:paraId="0363EC21" w14:textId="77777777" w:rsidR="007A7E55" w:rsidRDefault="007A7E55" w:rsidP="007B05CA">
      <w:pPr>
        <w:pStyle w:val="BodyText"/>
        <w:spacing w:after="240"/>
      </w:pPr>
    </w:p>
    <w:p w14:paraId="7DB564CB" w14:textId="63A31B87" w:rsidR="00BA2C40" w:rsidRPr="004F0F01" w:rsidRDefault="00E97A0C" w:rsidP="007B05CA">
      <w:pPr>
        <w:pStyle w:val="BodyText"/>
        <w:spacing w:after="240"/>
      </w:pPr>
      <w:r w:rsidRPr="004F0F01">
        <w:t>Data collection was done using a data collection tool</w:t>
      </w:r>
      <w:r w:rsidR="00911CE4" w:rsidRPr="004F0F01">
        <w:t xml:space="preserve"> </w:t>
      </w:r>
      <w:r w:rsidR="00D805D1" w:rsidRPr="004F0F01">
        <w:t>a</w:t>
      </w:r>
      <w:r w:rsidR="00BA2C40" w:rsidRPr="004F0F01">
        <w:t xml:space="preserve">dapted from Wang et al.’s (2018) </w:t>
      </w:r>
      <w:r w:rsidR="00911CE4" w:rsidRPr="004F0F01">
        <w:t>work</w:t>
      </w:r>
      <w:r w:rsidR="00AF0D76" w:rsidRPr="004F0F01">
        <w:t xml:space="preserve">. </w:t>
      </w:r>
      <w:r w:rsidR="00CA01CB" w:rsidRPr="004F0F01">
        <w:t xml:space="preserve">A thematic analysis was employed to </w:t>
      </w:r>
      <w:r w:rsidR="00DA031D" w:rsidRPr="004F0F01">
        <w:t>find</w:t>
      </w:r>
      <w:r w:rsidR="00BA2C40" w:rsidRPr="004F0F01">
        <w:t xml:space="preserve"> the themes of safety issues involved with women’s experiences of IPV. Thematic data analysis involves coding data and linking the codes to more prominent themes that emerge (Fugard &amp; Potts, 2020). In conducting the thematic analysis of this research, the data was read multiple times using different colours to highlight codes relating to the research question. Once </w:t>
      </w:r>
      <w:r w:rsidR="0035020F">
        <w:t>data was</w:t>
      </w:r>
      <w:r w:rsidR="00BA2C40" w:rsidRPr="004F0F01">
        <w:t xml:space="preserve"> coded, the highlighted data was extracted and put in a table with the headings </w:t>
      </w:r>
      <w:r w:rsidR="00F742E9" w:rsidRPr="004F0F01">
        <w:t>author, data, and codes</w:t>
      </w:r>
      <w:r w:rsidR="00BA2C40" w:rsidRPr="004F0F01">
        <w:t xml:space="preserve">. The data collected was read repeatedly to reduce the number of codes into more prominent overarching themes of safety issues for women experiencing IPV. </w:t>
      </w:r>
      <w:r w:rsidR="005A748E" w:rsidRPr="004F0F01">
        <w:t>Four</w:t>
      </w:r>
      <w:r w:rsidR="00BA2C40" w:rsidRPr="004F0F01">
        <w:t xml:space="preserve"> themes of safety issues emerged: </w:t>
      </w:r>
      <w:r w:rsidR="001109BB">
        <w:t>l</w:t>
      </w:r>
      <w:r w:rsidR="00BA2C40" w:rsidRPr="004F0F01">
        <w:t xml:space="preserve">ack of IPV </w:t>
      </w:r>
      <w:r w:rsidR="001109BB">
        <w:t>e</w:t>
      </w:r>
      <w:r w:rsidR="00BA2C40" w:rsidRPr="004F0F01">
        <w:t xml:space="preserve">ducation and </w:t>
      </w:r>
      <w:r w:rsidR="001109BB">
        <w:t>t</w:t>
      </w:r>
      <w:r w:rsidR="00BA2C40" w:rsidRPr="004F0F01">
        <w:t xml:space="preserve">raining, </w:t>
      </w:r>
      <w:r w:rsidR="001109BB">
        <w:t>i</w:t>
      </w:r>
      <w:r w:rsidR="00BA2C40" w:rsidRPr="004F0F01">
        <w:t xml:space="preserve">ssues with </w:t>
      </w:r>
      <w:r w:rsidR="001109BB">
        <w:t>s</w:t>
      </w:r>
      <w:r w:rsidR="00BA2C40" w:rsidRPr="004F0F01">
        <w:t xml:space="preserve">ervices, </w:t>
      </w:r>
      <w:r w:rsidR="001109BB">
        <w:t>s</w:t>
      </w:r>
      <w:r w:rsidR="00BA2C40" w:rsidRPr="004F0F01">
        <w:t xml:space="preserve">ystemic </w:t>
      </w:r>
      <w:r w:rsidR="001109BB">
        <w:t>i</w:t>
      </w:r>
      <w:r w:rsidR="00BA2C40" w:rsidRPr="004F0F01">
        <w:t>ssues</w:t>
      </w:r>
      <w:r w:rsidR="005A748E" w:rsidRPr="004F0F01">
        <w:t>,</w:t>
      </w:r>
      <w:r w:rsidR="00BA2C40" w:rsidRPr="004F0F01">
        <w:t xml:space="preserve"> and </w:t>
      </w:r>
      <w:r w:rsidR="001109BB">
        <w:t>issues with p</w:t>
      </w:r>
      <w:r w:rsidR="00BA2C40" w:rsidRPr="004F0F01">
        <w:t xml:space="preserve">rotection </w:t>
      </w:r>
      <w:r w:rsidR="001109BB">
        <w:t>o</w:t>
      </w:r>
      <w:r w:rsidR="00BA2C40" w:rsidRPr="004F0F01">
        <w:t xml:space="preserve">rders (POs). </w:t>
      </w:r>
    </w:p>
    <w:p w14:paraId="316D61BD" w14:textId="77777777" w:rsidR="00BA2C40" w:rsidRDefault="00BA2C40" w:rsidP="00B836E7">
      <w:pPr>
        <w:spacing w:line="240" w:lineRule="auto"/>
        <w:rPr>
          <w:rFonts w:cs="Times New Roman"/>
          <w:szCs w:val="24"/>
        </w:rPr>
      </w:pPr>
    </w:p>
    <w:p w14:paraId="4F79D7C5" w14:textId="77777777" w:rsidR="007B05CA" w:rsidRDefault="007B05CA" w:rsidP="00B836E7">
      <w:pPr>
        <w:spacing w:line="240" w:lineRule="auto"/>
        <w:rPr>
          <w:rFonts w:cs="Times New Roman"/>
          <w:szCs w:val="24"/>
        </w:rPr>
      </w:pPr>
    </w:p>
    <w:p w14:paraId="3D448132" w14:textId="77777777" w:rsidR="007B05CA" w:rsidRPr="004F0F01" w:rsidRDefault="007B05CA" w:rsidP="00B836E7">
      <w:pPr>
        <w:spacing w:line="240" w:lineRule="auto"/>
        <w:rPr>
          <w:rFonts w:cs="Times New Roman"/>
          <w:szCs w:val="24"/>
        </w:rPr>
      </w:pPr>
    </w:p>
    <w:tbl>
      <w:tblPr>
        <w:tblStyle w:val="PlainTable2"/>
        <w:tblW w:w="0" w:type="auto"/>
        <w:tblLook w:val="04A0" w:firstRow="1" w:lastRow="0" w:firstColumn="1" w:lastColumn="0" w:noHBand="0" w:noVBand="1"/>
      </w:tblPr>
      <w:tblGrid>
        <w:gridCol w:w="1206"/>
        <w:gridCol w:w="1205"/>
        <w:gridCol w:w="1661"/>
        <w:gridCol w:w="1216"/>
        <w:gridCol w:w="1383"/>
        <w:gridCol w:w="1316"/>
        <w:gridCol w:w="1039"/>
      </w:tblGrid>
      <w:tr w:rsidR="004F0F01" w:rsidRPr="00D647BB" w14:paraId="3B3A683D" w14:textId="77777777" w:rsidTr="00D647BB">
        <w:trPr>
          <w:cnfStyle w:val="100000000000" w:firstRow="1" w:lastRow="0" w:firstColumn="0" w:lastColumn="0" w:oddVBand="0" w:evenVBand="0" w:oddHBand="0" w:evenHBand="0" w:firstRowFirstColumn="0" w:firstRowLastColumn="0" w:lastRowFirstColumn="0" w:lastRowLastColumn="0"/>
          <w:trHeight w:val="806"/>
          <w:tblHeader/>
        </w:trPr>
        <w:tc>
          <w:tcPr>
            <w:cnfStyle w:val="001000000000" w:firstRow="0" w:lastRow="0" w:firstColumn="1" w:lastColumn="0" w:oddVBand="0" w:evenVBand="0" w:oddHBand="0" w:evenHBand="0" w:firstRowFirstColumn="0" w:firstRowLastColumn="0" w:lastRowFirstColumn="0" w:lastRowLastColumn="0"/>
            <w:tcW w:w="1276" w:type="dxa"/>
          </w:tcPr>
          <w:p w14:paraId="024DDCDE" w14:textId="77777777" w:rsidR="0009145C" w:rsidRPr="00D647BB" w:rsidRDefault="0009145C" w:rsidP="00B836E7">
            <w:pPr>
              <w:jc w:val="center"/>
              <w:rPr>
                <w:sz w:val="20"/>
              </w:rPr>
            </w:pPr>
            <w:r w:rsidRPr="00D647BB">
              <w:rPr>
                <w:sz w:val="20"/>
              </w:rPr>
              <w:t>Author and Country</w:t>
            </w:r>
          </w:p>
        </w:tc>
        <w:tc>
          <w:tcPr>
            <w:tcW w:w="1069" w:type="dxa"/>
          </w:tcPr>
          <w:p w14:paraId="001EEA33" w14:textId="77777777" w:rsidR="0009145C" w:rsidRPr="00D647BB" w:rsidRDefault="0009145C" w:rsidP="00B836E7">
            <w:pPr>
              <w:jc w:val="center"/>
              <w:cnfStyle w:val="100000000000" w:firstRow="1" w:lastRow="0" w:firstColumn="0" w:lastColumn="0" w:oddVBand="0" w:evenVBand="0" w:oddHBand="0" w:evenHBand="0" w:firstRowFirstColumn="0" w:firstRowLastColumn="0" w:lastRowFirstColumn="0" w:lastRowLastColumn="0"/>
              <w:rPr>
                <w:sz w:val="20"/>
              </w:rPr>
            </w:pPr>
            <w:r w:rsidRPr="00D647BB">
              <w:rPr>
                <w:sz w:val="20"/>
              </w:rPr>
              <w:t>Approach</w:t>
            </w:r>
          </w:p>
        </w:tc>
        <w:tc>
          <w:tcPr>
            <w:tcW w:w="0" w:type="auto"/>
          </w:tcPr>
          <w:p w14:paraId="3D0B46D3" w14:textId="77777777" w:rsidR="0009145C" w:rsidRPr="00D647BB" w:rsidRDefault="0009145C" w:rsidP="00B836E7">
            <w:pPr>
              <w:jc w:val="center"/>
              <w:cnfStyle w:val="100000000000" w:firstRow="1" w:lastRow="0" w:firstColumn="0" w:lastColumn="0" w:oddVBand="0" w:evenVBand="0" w:oddHBand="0" w:evenHBand="0" w:firstRowFirstColumn="0" w:firstRowLastColumn="0" w:lastRowFirstColumn="0" w:lastRowLastColumn="0"/>
              <w:rPr>
                <w:sz w:val="20"/>
              </w:rPr>
            </w:pPr>
            <w:r w:rsidRPr="00D647BB">
              <w:rPr>
                <w:sz w:val="20"/>
              </w:rPr>
              <w:t>Sample</w:t>
            </w:r>
          </w:p>
        </w:tc>
        <w:tc>
          <w:tcPr>
            <w:tcW w:w="0" w:type="auto"/>
          </w:tcPr>
          <w:p w14:paraId="74A8E223" w14:textId="77777777" w:rsidR="0009145C" w:rsidRPr="00D647BB" w:rsidRDefault="0009145C" w:rsidP="00B836E7">
            <w:pPr>
              <w:jc w:val="center"/>
              <w:cnfStyle w:val="100000000000" w:firstRow="1" w:lastRow="0" w:firstColumn="0" w:lastColumn="0" w:oddVBand="0" w:evenVBand="0" w:oddHBand="0" w:evenHBand="0" w:firstRowFirstColumn="0" w:firstRowLastColumn="0" w:lastRowFirstColumn="0" w:lastRowLastColumn="0"/>
              <w:rPr>
                <w:sz w:val="20"/>
              </w:rPr>
            </w:pPr>
            <w:r w:rsidRPr="00D647BB">
              <w:rPr>
                <w:sz w:val="20"/>
              </w:rPr>
              <w:t>Data collection</w:t>
            </w:r>
          </w:p>
        </w:tc>
        <w:tc>
          <w:tcPr>
            <w:tcW w:w="0" w:type="auto"/>
          </w:tcPr>
          <w:p w14:paraId="0DF85254" w14:textId="77777777" w:rsidR="0009145C" w:rsidRPr="00D647BB" w:rsidRDefault="0009145C" w:rsidP="00B836E7">
            <w:pPr>
              <w:jc w:val="center"/>
              <w:cnfStyle w:val="100000000000" w:firstRow="1" w:lastRow="0" w:firstColumn="0" w:lastColumn="0" w:oddVBand="0" w:evenVBand="0" w:oddHBand="0" w:evenHBand="0" w:firstRowFirstColumn="0" w:firstRowLastColumn="0" w:lastRowFirstColumn="0" w:lastRowLastColumn="0"/>
              <w:rPr>
                <w:sz w:val="20"/>
              </w:rPr>
            </w:pPr>
            <w:r w:rsidRPr="00D647BB">
              <w:rPr>
                <w:sz w:val="20"/>
              </w:rPr>
              <w:t>Aim of the Study</w:t>
            </w:r>
          </w:p>
        </w:tc>
        <w:tc>
          <w:tcPr>
            <w:tcW w:w="0" w:type="auto"/>
          </w:tcPr>
          <w:p w14:paraId="0A7B0C81" w14:textId="77777777" w:rsidR="0009145C" w:rsidRPr="00D647BB" w:rsidRDefault="0009145C" w:rsidP="00B836E7">
            <w:pPr>
              <w:jc w:val="center"/>
              <w:cnfStyle w:val="100000000000" w:firstRow="1" w:lastRow="0" w:firstColumn="0" w:lastColumn="0" w:oddVBand="0" w:evenVBand="0" w:oddHBand="0" w:evenHBand="0" w:firstRowFirstColumn="0" w:firstRowLastColumn="0" w:lastRowFirstColumn="0" w:lastRowLastColumn="0"/>
              <w:rPr>
                <w:sz w:val="20"/>
              </w:rPr>
            </w:pPr>
            <w:r w:rsidRPr="00D647BB">
              <w:rPr>
                <w:sz w:val="20"/>
              </w:rPr>
              <w:t>Terminology of Topic</w:t>
            </w:r>
          </w:p>
        </w:tc>
        <w:tc>
          <w:tcPr>
            <w:tcW w:w="0" w:type="auto"/>
          </w:tcPr>
          <w:p w14:paraId="2D9B55E1" w14:textId="77777777" w:rsidR="0009145C" w:rsidRPr="00D647BB" w:rsidRDefault="0009145C" w:rsidP="00B836E7">
            <w:pPr>
              <w:jc w:val="center"/>
              <w:cnfStyle w:val="100000000000" w:firstRow="1" w:lastRow="0" w:firstColumn="0" w:lastColumn="0" w:oddVBand="0" w:evenVBand="0" w:oddHBand="0" w:evenHBand="0" w:firstRowFirstColumn="0" w:firstRowLastColumn="0" w:lastRowFirstColumn="0" w:lastRowLastColumn="0"/>
              <w:rPr>
                <w:sz w:val="20"/>
              </w:rPr>
            </w:pPr>
            <w:r w:rsidRPr="00D647BB">
              <w:rPr>
                <w:sz w:val="20"/>
              </w:rPr>
              <w:t>Themes Found</w:t>
            </w:r>
          </w:p>
        </w:tc>
      </w:tr>
      <w:tr w:rsidR="004F0F01" w:rsidRPr="00D647BB" w14:paraId="4ABA4B00" w14:textId="77777777" w:rsidTr="00D647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76" w:type="dxa"/>
          </w:tcPr>
          <w:p w14:paraId="4ABDBB49" w14:textId="77777777" w:rsidR="0009145C" w:rsidRPr="00D647BB" w:rsidRDefault="0009145C" w:rsidP="00B836E7">
            <w:pPr>
              <w:rPr>
                <w:sz w:val="20"/>
              </w:rPr>
            </w:pPr>
            <w:r w:rsidRPr="00D647BB">
              <w:rPr>
                <w:sz w:val="20"/>
              </w:rPr>
              <w:t>Baum et al (2022)</w:t>
            </w:r>
          </w:p>
          <w:p w14:paraId="6BC6B22A" w14:textId="77777777" w:rsidR="0009145C" w:rsidRPr="00D647BB" w:rsidRDefault="0009145C" w:rsidP="00B836E7">
            <w:pPr>
              <w:rPr>
                <w:sz w:val="20"/>
              </w:rPr>
            </w:pPr>
            <w:r w:rsidRPr="00D647BB">
              <w:rPr>
                <w:sz w:val="20"/>
              </w:rPr>
              <w:t>Australia</w:t>
            </w:r>
          </w:p>
          <w:p w14:paraId="40ADDC82" w14:textId="77777777" w:rsidR="0009145C" w:rsidRPr="00D647BB" w:rsidRDefault="0009145C" w:rsidP="00B836E7">
            <w:pPr>
              <w:rPr>
                <w:sz w:val="20"/>
              </w:rPr>
            </w:pPr>
          </w:p>
        </w:tc>
        <w:tc>
          <w:tcPr>
            <w:tcW w:w="1069" w:type="dxa"/>
          </w:tcPr>
          <w:p w14:paraId="68F14CC1"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Mixed Method</w:t>
            </w:r>
          </w:p>
        </w:tc>
        <w:tc>
          <w:tcPr>
            <w:tcW w:w="0" w:type="auto"/>
          </w:tcPr>
          <w:p w14:paraId="0C1A66AD" w14:textId="7B57F655"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 xml:space="preserve">17 Australian medical universities, head leads within the disciplines of general practice, obstetrics and </w:t>
            </w:r>
            <w:r w:rsidR="005C125A" w:rsidRPr="00D647BB">
              <w:rPr>
                <w:sz w:val="20"/>
              </w:rPr>
              <w:t>gynaecology</w:t>
            </w:r>
            <w:r w:rsidRPr="00D647BB">
              <w:rPr>
                <w:sz w:val="20"/>
              </w:rPr>
              <w:t>, paediatrics and ‘others’</w:t>
            </w:r>
          </w:p>
        </w:tc>
        <w:tc>
          <w:tcPr>
            <w:tcW w:w="0" w:type="auto"/>
          </w:tcPr>
          <w:p w14:paraId="6BE1B72A"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Online Survey</w:t>
            </w:r>
          </w:p>
        </w:tc>
        <w:tc>
          <w:tcPr>
            <w:tcW w:w="0" w:type="auto"/>
          </w:tcPr>
          <w:p w14:paraId="4D3CA890" w14:textId="78920A98"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See if IPV education has improved in Australian medical schools over the last ten years</w:t>
            </w:r>
          </w:p>
        </w:tc>
        <w:tc>
          <w:tcPr>
            <w:tcW w:w="0" w:type="auto"/>
          </w:tcPr>
          <w:p w14:paraId="2B1B8224" w14:textId="61BF21D2"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 xml:space="preserve">Intimate Partner Violence </w:t>
            </w:r>
          </w:p>
        </w:tc>
        <w:tc>
          <w:tcPr>
            <w:tcW w:w="0" w:type="auto"/>
          </w:tcPr>
          <w:p w14:paraId="595C7325"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Lack of Education and Training</w:t>
            </w:r>
          </w:p>
        </w:tc>
      </w:tr>
      <w:tr w:rsidR="004F0F01" w:rsidRPr="00D647BB" w14:paraId="7F1B3C67" w14:textId="77777777" w:rsidTr="00D647BB">
        <w:trPr>
          <w:trHeight w:val="806"/>
        </w:trPr>
        <w:tc>
          <w:tcPr>
            <w:cnfStyle w:val="001000000000" w:firstRow="0" w:lastRow="0" w:firstColumn="1" w:lastColumn="0" w:oddVBand="0" w:evenVBand="0" w:oddHBand="0" w:evenHBand="0" w:firstRowFirstColumn="0" w:firstRowLastColumn="0" w:lastRowFirstColumn="0" w:lastRowLastColumn="0"/>
            <w:tcW w:w="1276" w:type="dxa"/>
          </w:tcPr>
          <w:p w14:paraId="67DC22CD" w14:textId="77777777" w:rsidR="0009145C" w:rsidRPr="00D647BB" w:rsidRDefault="0009145C" w:rsidP="00B836E7">
            <w:pPr>
              <w:rPr>
                <w:sz w:val="20"/>
              </w:rPr>
            </w:pPr>
            <w:r w:rsidRPr="00D647BB">
              <w:rPr>
                <w:sz w:val="20"/>
              </w:rPr>
              <w:t>Blagg et al (2022)</w:t>
            </w:r>
          </w:p>
          <w:p w14:paraId="03301095" w14:textId="77777777" w:rsidR="0009145C" w:rsidRPr="00D647BB" w:rsidRDefault="0009145C" w:rsidP="00B836E7">
            <w:pPr>
              <w:rPr>
                <w:sz w:val="20"/>
              </w:rPr>
            </w:pPr>
            <w:r w:rsidRPr="00D647BB">
              <w:rPr>
                <w:sz w:val="20"/>
              </w:rPr>
              <w:t>Australia</w:t>
            </w:r>
          </w:p>
          <w:p w14:paraId="65F8CC23" w14:textId="77777777" w:rsidR="0009145C" w:rsidRPr="00D647BB" w:rsidRDefault="0009145C" w:rsidP="00B836E7">
            <w:pPr>
              <w:rPr>
                <w:sz w:val="20"/>
              </w:rPr>
            </w:pPr>
          </w:p>
        </w:tc>
        <w:tc>
          <w:tcPr>
            <w:tcW w:w="1069" w:type="dxa"/>
          </w:tcPr>
          <w:p w14:paraId="14BC5AC6"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Qualitative</w:t>
            </w:r>
          </w:p>
        </w:tc>
        <w:tc>
          <w:tcPr>
            <w:tcW w:w="0" w:type="auto"/>
          </w:tcPr>
          <w:p w14:paraId="18F3124F"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161 Aboriginal Elders from 6 locations in Northern Australia.</w:t>
            </w:r>
          </w:p>
        </w:tc>
        <w:tc>
          <w:tcPr>
            <w:tcW w:w="0" w:type="auto"/>
          </w:tcPr>
          <w:p w14:paraId="401212E7" w14:textId="15AD62D5" w:rsidR="0009145C" w:rsidRPr="00D647BB" w:rsidRDefault="005C125A"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Handwritten</w:t>
            </w:r>
            <w:r w:rsidR="0009145C" w:rsidRPr="00D647BB">
              <w:rPr>
                <w:sz w:val="20"/>
              </w:rPr>
              <w:t xml:space="preserve"> notes from discussions in formal and un-formal settings</w:t>
            </w:r>
          </w:p>
        </w:tc>
        <w:tc>
          <w:tcPr>
            <w:tcW w:w="0" w:type="auto"/>
          </w:tcPr>
          <w:p w14:paraId="106BF639" w14:textId="37B5315D"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To understand how Aboriginal Law and Culture can help respond to FDV</w:t>
            </w:r>
          </w:p>
        </w:tc>
        <w:tc>
          <w:tcPr>
            <w:tcW w:w="0" w:type="auto"/>
          </w:tcPr>
          <w:p w14:paraId="18D19511" w14:textId="7C815D23"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Family Violence </w:t>
            </w:r>
          </w:p>
        </w:tc>
        <w:tc>
          <w:tcPr>
            <w:tcW w:w="0" w:type="auto"/>
          </w:tcPr>
          <w:p w14:paraId="3B507508"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Issues with Services</w:t>
            </w:r>
          </w:p>
          <w:p w14:paraId="18A6952A"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p>
          <w:p w14:paraId="49B53D41"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Systemic Issues </w:t>
            </w:r>
          </w:p>
          <w:p w14:paraId="48FBCE04"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p>
        </w:tc>
      </w:tr>
      <w:tr w:rsidR="004F0F01" w:rsidRPr="00D647BB" w14:paraId="0992FBDA" w14:textId="77777777" w:rsidTr="00D647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76" w:type="dxa"/>
          </w:tcPr>
          <w:p w14:paraId="52E92A29" w14:textId="77777777" w:rsidR="0009145C" w:rsidRPr="00D647BB" w:rsidRDefault="0009145C" w:rsidP="00B836E7">
            <w:pPr>
              <w:rPr>
                <w:sz w:val="20"/>
              </w:rPr>
            </w:pPr>
            <w:r w:rsidRPr="00D647BB">
              <w:rPr>
                <w:sz w:val="20"/>
              </w:rPr>
              <w:t>Doran et al (2019)</w:t>
            </w:r>
          </w:p>
          <w:p w14:paraId="560352B7" w14:textId="77777777" w:rsidR="0009145C" w:rsidRPr="00D647BB" w:rsidRDefault="0009145C" w:rsidP="00B836E7">
            <w:pPr>
              <w:rPr>
                <w:sz w:val="20"/>
              </w:rPr>
            </w:pPr>
            <w:r w:rsidRPr="00D647BB">
              <w:rPr>
                <w:sz w:val="20"/>
              </w:rPr>
              <w:t>Australia</w:t>
            </w:r>
          </w:p>
          <w:p w14:paraId="58891EEE" w14:textId="77777777" w:rsidR="0009145C" w:rsidRPr="00D647BB" w:rsidRDefault="0009145C" w:rsidP="00B836E7">
            <w:pPr>
              <w:rPr>
                <w:sz w:val="20"/>
              </w:rPr>
            </w:pPr>
          </w:p>
        </w:tc>
        <w:tc>
          <w:tcPr>
            <w:tcW w:w="1069" w:type="dxa"/>
          </w:tcPr>
          <w:p w14:paraId="1F74723F"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Mixed Method</w:t>
            </w:r>
          </w:p>
        </w:tc>
        <w:tc>
          <w:tcPr>
            <w:tcW w:w="0" w:type="auto"/>
          </w:tcPr>
          <w:p w14:paraId="514F8FEF"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1076 undergraduate students</w:t>
            </w:r>
          </w:p>
        </w:tc>
        <w:tc>
          <w:tcPr>
            <w:tcW w:w="0" w:type="auto"/>
          </w:tcPr>
          <w:p w14:paraId="7451B4BD"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Online survey</w:t>
            </w:r>
          </w:p>
        </w:tc>
        <w:tc>
          <w:tcPr>
            <w:tcW w:w="0" w:type="auto"/>
          </w:tcPr>
          <w:p w14:paraId="7D8FAC98"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To explore students’ attitudes and beliefs about domestic violence.</w:t>
            </w:r>
          </w:p>
        </w:tc>
        <w:tc>
          <w:tcPr>
            <w:tcW w:w="0" w:type="auto"/>
          </w:tcPr>
          <w:p w14:paraId="0BDD3FD4"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Domestic Violence</w:t>
            </w:r>
          </w:p>
          <w:p w14:paraId="41E65E30" w14:textId="09DEFE7B"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p>
        </w:tc>
        <w:tc>
          <w:tcPr>
            <w:tcW w:w="0" w:type="auto"/>
          </w:tcPr>
          <w:p w14:paraId="3DB83DCA"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 xml:space="preserve">Lack of Education and Training </w:t>
            </w:r>
          </w:p>
          <w:p w14:paraId="60274CDE"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p>
          <w:p w14:paraId="5EBCBC5C"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Systemic Issues</w:t>
            </w:r>
          </w:p>
        </w:tc>
      </w:tr>
      <w:tr w:rsidR="004F0F01" w:rsidRPr="00D647BB" w14:paraId="1A828E57" w14:textId="77777777" w:rsidTr="00D647BB">
        <w:trPr>
          <w:trHeight w:val="806"/>
        </w:trPr>
        <w:tc>
          <w:tcPr>
            <w:cnfStyle w:val="001000000000" w:firstRow="0" w:lastRow="0" w:firstColumn="1" w:lastColumn="0" w:oddVBand="0" w:evenVBand="0" w:oddHBand="0" w:evenHBand="0" w:firstRowFirstColumn="0" w:firstRowLastColumn="0" w:lastRowFirstColumn="0" w:lastRowLastColumn="0"/>
            <w:tcW w:w="1276" w:type="dxa"/>
          </w:tcPr>
          <w:p w14:paraId="66D49948" w14:textId="77777777" w:rsidR="0009145C" w:rsidRPr="00D647BB" w:rsidRDefault="0009145C" w:rsidP="00B836E7">
            <w:pPr>
              <w:rPr>
                <w:sz w:val="20"/>
              </w:rPr>
            </w:pPr>
            <w:r w:rsidRPr="00D647BB">
              <w:rPr>
                <w:sz w:val="20"/>
              </w:rPr>
              <w:t>Fisher et al (2021)</w:t>
            </w:r>
          </w:p>
          <w:p w14:paraId="05095D1D" w14:textId="77777777" w:rsidR="0009145C" w:rsidRPr="00D647BB" w:rsidRDefault="0009145C" w:rsidP="00B836E7">
            <w:pPr>
              <w:rPr>
                <w:sz w:val="20"/>
              </w:rPr>
            </w:pPr>
            <w:r w:rsidRPr="00D647BB">
              <w:rPr>
                <w:sz w:val="20"/>
              </w:rPr>
              <w:t>Australia</w:t>
            </w:r>
          </w:p>
          <w:p w14:paraId="5345E1F9" w14:textId="77777777" w:rsidR="0009145C" w:rsidRPr="00D647BB" w:rsidRDefault="0009145C" w:rsidP="00B836E7">
            <w:pPr>
              <w:rPr>
                <w:sz w:val="20"/>
              </w:rPr>
            </w:pPr>
          </w:p>
        </w:tc>
        <w:tc>
          <w:tcPr>
            <w:tcW w:w="1069" w:type="dxa"/>
          </w:tcPr>
          <w:p w14:paraId="3AFAEF64"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Mixed Method</w:t>
            </w:r>
          </w:p>
        </w:tc>
        <w:tc>
          <w:tcPr>
            <w:tcW w:w="0" w:type="auto"/>
          </w:tcPr>
          <w:p w14:paraId="47BE9250"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92 psychologists (practising in neuropsychology) from all states of Australia</w:t>
            </w:r>
          </w:p>
        </w:tc>
        <w:tc>
          <w:tcPr>
            <w:tcW w:w="0" w:type="auto"/>
          </w:tcPr>
          <w:p w14:paraId="74FFEFBC"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Surveys</w:t>
            </w:r>
          </w:p>
        </w:tc>
        <w:tc>
          <w:tcPr>
            <w:tcW w:w="0" w:type="auto"/>
          </w:tcPr>
          <w:p w14:paraId="199CF5FC" w14:textId="00653E0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To evaluate the rates of FDV training, </w:t>
            </w:r>
            <w:r w:rsidR="00D37F32" w:rsidRPr="00D647BB">
              <w:rPr>
                <w:sz w:val="20"/>
              </w:rPr>
              <w:t>knowledge,</w:t>
            </w:r>
            <w:r w:rsidRPr="00D647BB">
              <w:rPr>
                <w:sz w:val="20"/>
              </w:rPr>
              <w:t xml:space="preserve"> and skills of practitioners in this cohort</w:t>
            </w:r>
          </w:p>
        </w:tc>
        <w:tc>
          <w:tcPr>
            <w:tcW w:w="0" w:type="auto"/>
          </w:tcPr>
          <w:p w14:paraId="35959399"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Family Violence</w:t>
            </w:r>
          </w:p>
          <w:p w14:paraId="464C2042" w14:textId="4AD5646A"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p>
        </w:tc>
        <w:tc>
          <w:tcPr>
            <w:tcW w:w="0" w:type="auto"/>
          </w:tcPr>
          <w:p w14:paraId="717E6F59"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Lack of Education and Training</w:t>
            </w:r>
          </w:p>
        </w:tc>
      </w:tr>
      <w:tr w:rsidR="004F0F01" w:rsidRPr="00D647BB" w14:paraId="02A933BE" w14:textId="77777777" w:rsidTr="00D647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76" w:type="dxa"/>
          </w:tcPr>
          <w:p w14:paraId="1D9B4D64" w14:textId="77777777" w:rsidR="0009145C" w:rsidRPr="00D647BB" w:rsidRDefault="0009145C" w:rsidP="00B836E7">
            <w:pPr>
              <w:rPr>
                <w:sz w:val="20"/>
              </w:rPr>
            </w:pPr>
            <w:r w:rsidRPr="00D647BB">
              <w:rPr>
                <w:sz w:val="20"/>
              </w:rPr>
              <w:t xml:space="preserve">Meyer and </w:t>
            </w:r>
            <w:proofErr w:type="spellStart"/>
            <w:r w:rsidRPr="00D647BB">
              <w:rPr>
                <w:sz w:val="20"/>
              </w:rPr>
              <w:t>Stambe</w:t>
            </w:r>
            <w:proofErr w:type="spellEnd"/>
            <w:r w:rsidRPr="00D647BB">
              <w:rPr>
                <w:sz w:val="20"/>
              </w:rPr>
              <w:t xml:space="preserve"> (2021)</w:t>
            </w:r>
          </w:p>
          <w:p w14:paraId="69F4A821" w14:textId="77777777" w:rsidR="0009145C" w:rsidRPr="00D647BB" w:rsidRDefault="0009145C" w:rsidP="00B836E7">
            <w:pPr>
              <w:rPr>
                <w:sz w:val="20"/>
              </w:rPr>
            </w:pPr>
            <w:r w:rsidRPr="00D647BB">
              <w:rPr>
                <w:sz w:val="20"/>
              </w:rPr>
              <w:t>Australia</w:t>
            </w:r>
          </w:p>
          <w:p w14:paraId="69E2D9AB" w14:textId="77777777" w:rsidR="0009145C" w:rsidRPr="00D647BB" w:rsidRDefault="0009145C" w:rsidP="00B836E7">
            <w:pPr>
              <w:rPr>
                <w:sz w:val="20"/>
              </w:rPr>
            </w:pPr>
          </w:p>
        </w:tc>
        <w:tc>
          <w:tcPr>
            <w:tcW w:w="1069" w:type="dxa"/>
          </w:tcPr>
          <w:p w14:paraId="3EC5739A"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Qualitative</w:t>
            </w:r>
          </w:p>
        </w:tc>
        <w:tc>
          <w:tcPr>
            <w:tcW w:w="0" w:type="auto"/>
          </w:tcPr>
          <w:p w14:paraId="37F0A5CD"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13 Aboriginal women affected by FDV, 18 Aboriginal and non-Aboriginal community stakeholders from two regional Queensland locations</w:t>
            </w:r>
          </w:p>
        </w:tc>
        <w:tc>
          <w:tcPr>
            <w:tcW w:w="0" w:type="auto"/>
          </w:tcPr>
          <w:p w14:paraId="26156E8F"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Face-to-face interviews using audio recording and field notes.</w:t>
            </w:r>
          </w:p>
        </w:tc>
        <w:tc>
          <w:tcPr>
            <w:tcW w:w="0" w:type="auto"/>
          </w:tcPr>
          <w:p w14:paraId="1F3F298F" w14:textId="47094A5D"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To build on existing research of non-Aboriginal women’s experiences of FDV in rural settings, to include the voice of Aboriginal women</w:t>
            </w:r>
          </w:p>
        </w:tc>
        <w:tc>
          <w:tcPr>
            <w:tcW w:w="0" w:type="auto"/>
          </w:tcPr>
          <w:p w14:paraId="552A22F9"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Domestic and Family Violence</w:t>
            </w:r>
          </w:p>
          <w:p w14:paraId="4C8C83FF" w14:textId="777A0508"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p>
        </w:tc>
        <w:tc>
          <w:tcPr>
            <w:tcW w:w="0" w:type="auto"/>
          </w:tcPr>
          <w:p w14:paraId="45B0A9CC"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Issues with Services</w:t>
            </w:r>
          </w:p>
          <w:p w14:paraId="256EE0FC"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p>
          <w:p w14:paraId="29B9F046"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Systemic Issues</w:t>
            </w:r>
          </w:p>
          <w:p w14:paraId="5D438744"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p>
        </w:tc>
      </w:tr>
      <w:tr w:rsidR="004F0F01" w:rsidRPr="00D647BB" w14:paraId="2065F8AB" w14:textId="77777777" w:rsidTr="00D647BB">
        <w:trPr>
          <w:trHeight w:val="806"/>
        </w:trPr>
        <w:tc>
          <w:tcPr>
            <w:cnfStyle w:val="001000000000" w:firstRow="0" w:lastRow="0" w:firstColumn="1" w:lastColumn="0" w:oddVBand="0" w:evenVBand="0" w:oddHBand="0" w:evenHBand="0" w:firstRowFirstColumn="0" w:firstRowLastColumn="0" w:lastRowFirstColumn="0" w:lastRowLastColumn="0"/>
            <w:tcW w:w="1276" w:type="dxa"/>
          </w:tcPr>
          <w:p w14:paraId="3032B30D" w14:textId="77777777" w:rsidR="0009145C" w:rsidRPr="00D647BB" w:rsidRDefault="0009145C" w:rsidP="00B836E7">
            <w:pPr>
              <w:rPr>
                <w:sz w:val="20"/>
              </w:rPr>
            </w:pPr>
            <w:r w:rsidRPr="00D647BB">
              <w:rPr>
                <w:sz w:val="20"/>
              </w:rPr>
              <w:t>McLindon et al (2019)</w:t>
            </w:r>
          </w:p>
          <w:p w14:paraId="240BC7F4" w14:textId="77777777" w:rsidR="0009145C" w:rsidRPr="00D647BB" w:rsidRDefault="0009145C" w:rsidP="00B836E7">
            <w:pPr>
              <w:rPr>
                <w:sz w:val="20"/>
              </w:rPr>
            </w:pPr>
            <w:r w:rsidRPr="00D647BB">
              <w:rPr>
                <w:sz w:val="20"/>
              </w:rPr>
              <w:t>Australia</w:t>
            </w:r>
          </w:p>
          <w:p w14:paraId="73029808" w14:textId="77777777" w:rsidR="0009145C" w:rsidRPr="00D647BB" w:rsidRDefault="0009145C" w:rsidP="00B836E7">
            <w:pPr>
              <w:rPr>
                <w:sz w:val="20"/>
              </w:rPr>
            </w:pPr>
          </w:p>
        </w:tc>
        <w:tc>
          <w:tcPr>
            <w:tcW w:w="1069" w:type="dxa"/>
          </w:tcPr>
          <w:p w14:paraId="458F542E"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Quantitative</w:t>
            </w:r>
          </w:p>
        </w:tc>
        <w:tc>
          <w:tcPr>
            <w:tcW w:w="0" w:type="auto"/>
          </w:tcPr>
          <w:p w14:paraId="269D4A7F" w14:textId="2D2AC324"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471 female health professionals (nurses, </w:t>
            </w:r>
            <w:r w:rsidR="00D37F32" w:rsidRPr="00D647BB">
              <w:rPr>
                <w:sz w:val="20"/>
              </w:rPr>
              <w:t>doctors,</w:t>
            </w:r>
            <w:r w:rsidRPr="00D647BB">
              <w:rPr>
                <w:sz w:val="20"/>
              </w:rPr>
              <w:t xml:space="preserve"> and social workers) from one tertiary maternity hospital </w:t>
            </w:r>
          </w:p>
        </w:tc>
        <w:tc>
          <w:tcPr>
            <w:tcW w:w="0" w:type="auto"/>
          </w:tcPr>
          <w:p w14:paraId="7B3F9F2F"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Online survey</w:t>
            </w:r>
          </w:p>
        </w:tc>
        <w:tc>
          <w:tcPr>
            <w:tcW w:w="0" w:type="auto"/>
          </w:tcPr>
          <w:p w14:paraId="52CABEFE" w14:textId="477D43D8"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Investigate whether personal experiences of DV by clinicians impact their clinical work with women experiencing DV</w:t>
            </w:r>
          </w:p>
        </w:tc>
        <w:tc>
          <w:tcPr>
            <w:tcW w:w="0" w:type="auto"/>
          </w:tcPr>
          <w:p w14:paraId="470DE5EC"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Domestic Violence</w:t>
            </w:r>
          </w:p>
          <w:p w14:paraId="7B3A6BCB" w14:textId="1F1FEB89"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p>
        </w:tc>
        <w:tc>
          <w:tcPr>
            <w:tcW w:w="0" w:type="auto"/>
          </w:tcPr>
          <w:p w14:paraId="0B463B84"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Lack of Education and Training</w:t>
            </w:r>
          </w:p>
        </w:tc>
      </w:tr>
      <w:tr w:rsidR="004F0F01" w:rsidRPr="00D647BB" w14:paraId="712798F0" w14:textId="77777777" w:rsidTr="00D647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76" w:type="dxa"/>
          </w:tcPr>
          <w:p w14:paraId="03017711" w14:textId="77777777" w:rsidR="0009145C" w:rsidRPr="00D647BB" w:rsidRDefault="0009145C" w:rsidP="00B836E7">
            <w:pPr>
              <w:rPr>
                <w:sz w:val="20"/>
              </w:rPr>
            </w:pPr>
            <w:r w:rsidRPr="00D647BB">
              <w:rPr>
                <w:sz w:val="20"/>
              </w:rPr>
              <w:t>Spangaro et al (2019)</w:t>
            </w:r>
          </w:p>
          <w:p w14:paraId="6A416A77" w14:textId="77777777" w:rsidR="0009145C" w:rsidRPr="00D647BB" w:rsidRDefault="0009145C" w:rsidP="00B836E7">
            <w:pPr>
              <w:rPr>
                <w:sz w:val="20"/>
              </w:rPr>
            </w:pPr>
            <w:r w:rsidRPr="00D647BB">
              <w:rPr>
                <w:sz w:val="20"/>
              </w:rPr>
              <w:t>Australia</w:t>
            </w:r>
          </w:p>
          <w:p w14:paraId="6A9E4646" w14:textId="77777777" w:rsidR="0009145C" w:rsidRPr="00D647BB" w:rsidRDefault="0009145C" w:rsidP="00B836E7">
            <w:pPr>
              <w:rPr>
                <w:sz w:val="20"/>
              </w:rPr>
            </w:pPr>
          </w:p>
        </w:tc>
        <w:tc>
          <w:tcPr>
            <w:tcW w:w="1069" w:type="dxa"/>
          </w:tcPr>
          <w:p w14:paraId="54FAE39D"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Qualitative</w:t>
            </w:r>
          </w:p>
        </w:tc>
        <w:tc>
          <w:tcPr>
            <w:tcW w:w="0" w:type="auto"/>
          </w:tcPr>
          <w:p w14:paraId="37FAE55D"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12 Aboriginal women from two urban and three regional Maternity Infant Health Services</w:t>
            </w:r>
          </w:p>
        </w:tc>
        <w:tc>
          <w:tcPr>
            <w:tcW w:w="0" w:type="auto"/>
          </w:tcPr>
          <w:p w14:paraId="2F3DE6C5"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Semi-structured face-to-face interviews with questions and audio recorded.</w:t>
            </w:r>
          </w:p>
        </w:tc>
        <w:tc>
          <w:tcPr>
            <w:tcW w:w="0" w:type="auto"/>
          </w:tcPr>
          <w:p w14:paraId="74CAE011"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To find out how Aboriginal women perceived the impact of antenatal IPV routine enquiry intervention.</w:t>
            </w:r>
          </w:p>
        </w:tc>
        <w:tc>
          <w:tcPr>
            <w:tcW w:w="0" w:type="auto"/>
          </w:tcPr>
          <w:p w14:paraId="2602D77A" w14:textId="269BA25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 xml:space="preserve">Intimate Partner Violence </w:t>
            </w:r>
          </w:p>
        </w:tc>
        <w:tc>
          <w:tcPr>
            <w:tcW w:w="0" w:type="auto"/>
          </w:tcPr>
          <w:p w14:paraId="56111AFE"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Systemic Issues</w:t>
            </w:r>
          </w:p>
          <w:p w14:paraId="69455A89"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p>
          <w:p w14:paraId="24AF38ED"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 xml:space="preserve">Issues with Services </w:t>
            </w:r>
          </w:p>
        </w:tc>
      </w:tr>
      <w:tr w:rsidR="004F0F01" w:rsidRPr="00D647BB" w14:paraId="1AB3195F" w14:textId="77777777" w:rsidTr="00D647BB">
        <w:trPr>
          <w:trHeight w:val="806"/>
        </w:trPr>
        <w:tc>
          <w:tcPr>
            <w:cnfStyle w:val="001000000000" w:firstRow="0" w:lastRow="0" w:firstColumn="1" w:lastColumn="0" w:oddVBand="0" w:evenVBand="0" w:oddHBand="0" w:evenHBand="0" w:firstRowFirstColumn="0" w:firstRowLastColumn="0" w:lastRowFirstColumn="0" w:lastRowLastColumn="0"/>
            <w:tcW w:w="1276" w:type="dxa"/>
          </w:tcPr>
          <w:p w14:paraId="17231BE9" w14:textId="77777777" w:rsidR="0009145C" w:rsidRPr="00D647BB" w:rsidRDefault="0009145C" w:rsidP="00B836E7">
            <w:pPr>
              <w:rPr>
                <w:sz w:val="20"/>
              </w:rPr>
            </w:pPr>
            <w:r w:rsidRPr="00D647BB">
              <w:rPr>
                <w:sz w:val="20"/>
              </w:rPr>
              <w:t>Taylor et al (2017)</w:t>
            </w:r>
          </w:p>
          <w:p w14:paraId="38F282B3" w14:textId="77777777" w:rsidR="0009145C" w:rsidRPr="00D647BB" w:rsidRDefault="0009145C" w:rsidP="00B836E7">
            <w:pPr>
              <w:rPr>
                <w:sz w:val="20"/>
              </w:rPr>
            </w:pPr>
            <w:r w:rsidRPr="00D647BB">
              <w:rPr>
                <w:sz w:val="20"/>
              </w:rPr>
              <w:t>Australia</w:t>
            </w:r>
          </w:p>
          <w:p w14:paraId="4A8CEAB0" w14:textId="77777777" w:rsidR="0009145C" w:rsidRPr="00D647BB" w:rsidRDefault="0009145C" w:rsidP="00B836E7">
            <w:pPr>
              <w:rPr>
                <w:sz w:val="20"/>
              </w:rPr>
            </w:pPr>
          </w:p>
        </w:tc>
        <w:tc>
          <w:tcPr>
            <w:tcW w:w="1069" w:type="dxa"/>
          </w:tcPr>
          <w:p w14:paraId="1B143DBA"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Mixed Method</w:t>
            </w:r>
          </w:p>
        </w:tc>
        <w:tc>
          <w:tcPr>
            <w:tcW w:w="0" w:type="auto"/>
          </w:tcPr>
          <w:p w14:paraId="7290CF99"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Study One: police, magistrates, </w:t>
            </w:r>
            <w:proofErr w:type="gramStart"/>
            <w:r w:rsidRPr="00D647BB">
              <w:rPr>
                <w:sz w:val="20"/>
              </w:rPr>
              <w:t>lawyers</w:t>
            </w:r>
            <w:proofErr w:type="gramEnd"/>
            <w:r w:rsidRPr="00D647BB">
              <w:rPr>
                <w:sz w:val="20"/>
              </w:rPr>
              <w:t xml:space="preserve"> and victim advocates from all Australian jurisdictions (except police from SA, NT and magistrates from TAS).</w:t>
            </w:r>
          </w:p>
          <w:p w14:paraId="38792847"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Study Two: 20 women who had experienced IPV and 20 IPV service providers from NSW, VIC, </w:t>
            </w:r>
            <w:proofErr w:type="gramStart"/>
            <w:r w:rsidRPr="00D647BB">
              <w:rPr>
                <w:sz w:val="20"/>
              </w:rPr>
              <w:t>QLD</w:t>
            </w:r>
            <w:proofErr w:type="gramEnd"/>
            <w:r w:rsidRPr="00D647BB">
              <w:rPr>
                <w:sz w:val="20"/>
              </w:rPr>
              <w:t xml:space="preserve"> and NT.</w:t>
            </w:r>
          </w:p>
        </w:tc>
        <w:tc>
          <w:tcPr>
            <w:tcW w:w="0" w:type="auto"/>
          </w:tcPr>
          <w:p w14:paraId="1B0B03D6"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Study One: online surveys using closed-ended questions and some selected open-ended questions.</w:t>
            </w:r>
          </w:p>
          <w:p w14:paraId="109EECA1"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Study Two: semi-structured interviews. </w:t>
            </w:r>
          </w:p>
        </w:tc>
        <w:tc>
          <w:tcPr>
            <w:tcW w:w="0" w:type="auto"/>
          </w:tcPr>
          <w:p w14:paraId="3BE8A5B2"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Encompassing two studies in one, the purpose was to look at how professionals (police, magistrates, lawyers, and victim advocates) view the use of protection orders and then how women experiencing FDV view protection orders.</w:t>
            </w:r>
          </w:p>
        </w:tc>
        <w:tc>
          <w:tcPr>
            <w:tcW w:w="0" w:type="auto"/>
          </w:tcPr>
          <w:p w14:paraId="672962E5" w14:textId="3BAFA698"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Domestic Family Violence </w:t>
            </w:r>
          </w:p>
        </w:tc>
        <w:tc>
          <w:tcPr>
            <w:tcW w:w="0" w:type="auto"/>
          </w:tcPr>
          <w:p w14:paraId="39C3E51A"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Lack of Education and Training</w:t>
            </w:r>
          </w:p>
          <w:p w14:paraId="2B38DE3A"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p>
          <w:p w14:paraId="3FB2315C"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Issues with Services </w:t>
            </w:r>
          </w:p>
          <w:p w14:paraId="321C6B8B"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p>
          <w:p w14:paraId="0756742A"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Protection Orders</w:t>
            </w:r>
          </w:p>
        </w:tc>
      </w:tr>
      <w:tr w:rsidR="004F0F01" w:rsidRPr="00D647BB" w14:paraId="5CB9D802" w14:textId="77777777" w:rsidTr="00D647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76" w:type="dxa"/>
          </w:tcPr>
          <w:p w14:paraId="63E10822" w14:textId="77777777" w:rsidR="0009145C" w:rsidRPr="00D647BB" w:rsidRDefault="0009145C" w:rsidP="00B836E7">
            <w:pPr>
              <w:rPr>
                <w:sz w:val="20"/>
              </w:rPr>
            </w:pPr>
            <w:r w:rsidRPr="00D647BB">
              <w:rPr>
                <w:sz w:val="20"/>
              </w:rPr>
              <w:t>Truong et al (2022)</w:t>
            </w:r>
          </w:p>
          <w:p w14:paraId="4B01EA26" w14:textId="77777777" w:rsidR="0009145C" w:rsidRPr="00D647BB" w:rsidRDefault="0009145C" w:rsidP="00B836E7">
            <w:pPr>
              <w:rPr>
                <w:sz w:val="20"/>
              </w:rPr>
            </w:pPr>
            <w:r w:rsidRPr="00D647BB">
              <w:rPr>
                <w:sz w:val="20"/>
              </w:rPr>
              <w:t>Australia</w:t>
            </w:r>
          </w:p>
          <w:p w14:paraId="23809FEE" w14:textId="77777777" w:rsidR="0009145C" w:rsidRPr="00D647BB" w:rsidRDefault="0009145C" w:rsidP="00B836E7">
            <w:pPr>
              <w:rPr>
                <w:sz w:val="20"/>
              </w:rPr>
            </w:pPr>
          </w:p>
        </w:tc>
        <w:tc>
          <w:tcPr>
            <w:tcW w:w="1069" w:type="dxa"/>
          </w:tcPr>
          <w:p w14:paraId="1884250F"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Qualitative</w:t>
            </w:r>
          </w:p>
        </w:tc>
        <w:tc>
          <w:tcPr>
            <w:tcW w:w="0" w:type="auto"/>
          </w:tcPr>
          <w:p w14:paraId="208E81C0"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 xml:space="preserve">64 participants (male and female) from various cultural and religious backgrounds. Participants included faith leaders, community members and FDV sector workers. </w:t>
            </w:r>
          </w:p>
        </w:tc>
        <w:tc>
          <w:tcPr>
            <w:tcW w:w="0" w:type="auto"/>
          </w:tcPr>
          <w:p w14:paraId="1614594D"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 xml:space="preserve">Semi-structured interviews and focus groups audio recorded. </w:t>
            </w:r>
          </w:p>
        </w:tc>
        <w:tc>
          <w:tcPr>
            <w:tcW w:w="0" w:type="auto"/>
          </w:tcPr>
          <w:p w14:paraId="25B29B71"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To examine the influence of religious beliefs and values on attitudes and beliefs of FDV among culturally diverse faith communities in Australia.</w:t>
            </w:r>
          </w:p>
        </w:tc>
        <w:tc>
          <w:tcPr>
            <w:tcW w:w="0" w:type="auto"/>
          </w:tcPr>
          <w:p w14:paraId="500207EE"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Family and Domestic Violence</w:t>
            </w:r>
          </w:p>
          <w:p w14:paraId="78F7130B" w14:textId="5C96D78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p>
        </w:tc>
        <w:tc>
          <w:tcPr>
            <w:tcW w:w="0" w:type="auto"/>
          </w:tcPr>
          <w:p w14:paraId="39A2882E"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 xml:space="preserve">Lack of Education and Training </w:t>
            </w:r>
          </w:p>
          <w:p w14:paraId="2B4F17DE"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p>
          <w:p w14:paraId="14535A3F" w14:textId="77777777" w:rsidR="0009145C" w:rsidRPr="00D647BB" w:rsidRDefault="0009145C" w:rsidP="00B836E7">
            <w:pPr>
              <w:cnfStyle w:val="000000100000" w:firstRow="0" w:lastRow="0" w:firstColumn="0" w:lastColumn="0" w:oddVBand="0" w:evenVBand="0" w:oddHBand="1" w:evenHBand="0" w:firstRowFirstColumn="0" w:firstRowLastColumn="0" w:lastRowFirstColumn="0" w:lastRowLastColumn="0"/>
              <w:rPr>
                <w:sz w:val="20"/>
              </w:rPr>
            </w:pPr>
            <w:r w:rsidRPr="00D647BB">
              <w:rPr>
                <w:sz w:val="20"/>
              </w:rPr>
              <w:t>Systemic Issues</w:t>
            </w:r>
          </w:p>
        </w:tc>
      </w:tr>
      <w:tr w:rsidR="004F0F01" w:rsidRPr="00D647BB" w14:paraId="2463328E" w14:textId="77777777" w:rsidTr="00D647BB">
        <w:trPr>
          <w:trHeight w:val="806"/>
        </w:trPr>
        <w:tc>
          <w:tcPr>
            <w:cnfStyle w:val="001000000000" w:firstRow="0" w:lastRow="0" w:firstColumn="1" w:lastColumn="0" w:oddVBand="0" w:evenVBand="0" w:oddHBand="0" w:evenHBand="0" w:firstRowFirstColumn="0" w:firstRowLastColumn="0" w:lastRowFirstColumn="0" w:lastRowLastColumn="0"/>
            <w:tcW w:w="1276" w:type="dxa"/>
          </w:tcPr>
          <w:p w14:paraId="60A0BC9C" w14:textId="77777777" w:rsidR="0009145C" w:rsidRPr="00D647BB" w:rsidRDefault="0009145C" w:rsidP="00B836E7">
            <w:pPr>
              <w:rPr>
                <w:sz w:val="20"/>
              </w:rPr>
            </w:pPr>
            <w:r w:rsidRPr="00D647BB">
              <w:rPr>
                <w:sz w:val="20"/>
              </w:rPr>
              <w:t>Turner and Walsh (2020)</w:t>
            </w:r>
          </w:p>
          <w:p w14:paraId="11709E7E" w14:textId="77777777" w:rsidR="0009145C" w:rsidRPr="00D647BB" w:rsidRDefault="0009145C" w:rsidP="00B836E7">
            <w:pPr>
              <w:rPr>
                <w:sz w:val="20"/>
              </w:rPr>
            </w:pPr>
            <w:r w:rsidRPr="00D647BB">
              <w:rPr>
                <w:sz w:val="20"/>
              </w:rPr>
              <w:t>Australia</w:t>
            </w:r>
          </w:p>
          <w:p w14:paraId="287CF7E1" w14:textId="77777777" w:rsidR="0009145C" w:rsidRPr="00D647BB" w:rsidRDefault="0009145C" w:rsidP="00B836E7">
            <w:pPr>
              <w:rPr>
                <w:sz w:val="20"/>
              </w:rPr>
            </w:pPr>
          </w:p>
        </w:tc>
        <w:tc>
          <w:tcPr>
            <w:tcW w:w="1069" w:type="dxa"/>
          </w:tcPr>
          <w:p w14:paraId="5D3E3DBD"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Qualitative</w:t>
            </w:r>
          </w:p>
        </w:tc>
        <w:tc>
          <w:tcPr>
            <w:tcW w:w="0" w:type="auto"/>
          </w:tcPr>
          <w:p w14:paraId="37D3750B"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6 participants from a specialist FDV agency (with either social work or psychology degrees or postgraduate certificates).</w:t>
            </w:r>
          </w:p>
        </w:tc>
        <w:tc>
          <w:tcPr>
            <w:tcW w:w="0" w:type="auto"/>
          </w:tcPr>
          <w:p w14:paraId="463E0ABA"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Semi-structured interviews.</w:t>
            </w:r>
          </w:p>
        </w:tc>
        <w:tc>
          <w:tcPr>
            <w:tcW w:w="0" w:type="auto"/>
          </w:tcPr>
          <w:p w14:paraId="552E5258"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To explore the intersection between FDV specialist service and external agencies (welfare and legal systems) they engage with on behalf of clients.</w:t>
            </w:r>
          </w:p>
        </w:tc>
        <w:tc>
          <w:tcPr>
            <w:tcW w:w="0" w:type="auto"/>
          </w:tcPr>
          <w:p w14:paraId="6D19CC76"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Domestic and Family Violence</w:t>
            </w:r>
          </w:p>
          <w:p w14:paraId="11C5CA8C" w14:textId="21D74CBB"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p>
        </w:tc>
        <w:tc>
          <w:tcPr>
            <w:tcW w:w="0" w:type="auto"/>
          </w:tcPr>
          <w:p w14:paraId="6BF8241D"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Lack of Education and Training </w:t>
            </w:r>
          </w:p>
          <w:p w14:paraId="298E62C6"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 xml:space="preserve">Issues with Services </w:t>
            </w:r>
          </w:p>
          <w:p w14:paraId="567011AE" w14:textId="77777777" w:rsidR="0009145C" w:rsidRPr="00D647BB" w:rsidRDefault="0009145C" w:rsidP="00B836E7">
            <w:pPr>
              <w:cnfStyle w:val="000000000000" w:firstRow="0" w:lastRow="0" w:firstColumn="0" w:lastColumn="0" w:oddVBand="0" w:evenVBand="0" w:oddHBand="0" w:evenHBand="0" w:firstRowFirstColumn="0" w:firstRowLastColumn="0" w:lastRowFirstColumn="0" w:lastRowLastColumn="0"/>
              <w:rPr>
                <w:sz w:val="20"/>
              </w:rPr>
            </w:pPr>
            <w:r w:rsidRPr="00D647BB">
              <w:rPr>
                <w:sz w:val="20"/>
              </w:rPr>
              <w:t>Protection Orders</w:t>
            </w:r>
          </w:p>
        </w:tc>
      </w:tr>
    </w:tbl>
    <w:p w14:paraId="002BFFAA" w14:textId="15CDD78F" w:rsidR="0009145C" w:rsidRPr="00017A00" w:rsidRDefault="00E9099C" w:rsidP="00017A00">
      <w:pPr>
        <w:spacing w:line="240" w:lineRule="auto"/>
        <w:jc w:val="center"/>
        <w:rPr>
          <w:rFonts w:cs="Times New Roman"/>
          <w:szCs w:val="24"/>
        </w:rPr>
      </w:pPr>
      <w:r w:rsidRPr="00017A00">
        <w:rPr>
          <w:rFonts w:cs="Times New Roman"/>
          <w:szCs w:val="24"/>
        </w:rPr>
        <w:t xml:space="preserve">Figure </w:t>
      </w:r>
      <w:r w:rsidR="00D67A32" w:rsidRPr="00017A00">
        <w:rPr>
          <w:rFonts w:cs="Times New Roman"/>
          <w:szCs w:val="24"/>
        </w:rPr>
        <w:t>2</w:t>
      </w:r>
      <w:r w:rsidRPr="00017A00">
        <w:rPr>
          <w:rFonts w:cs="Times New Roman"/>
          <w:szCs w:val="24"/>
        </w:rPr>
        <w:t xml:space="preserve">: Articles included in the </w:t>
      </w:r>
      <w:r w:rsidR="005B71FE" w:rsidRPr="00017A00">
        <w:rPr>
          <w:rFonts w:cs="Times New Roman"/>
          <w:szCs w:val="24"/>
        </w:rPr>
        <w:t>review, terminologies used</w:t>
      </w:r>
      <w:r w:rsidR="00D46A69" w:rsidRPr="00017A00">
        <w:rPr>
          <w:rFonts w:cs="Times New Roman"/>
          <w:szCs w:val="24"/>
        </w:rPr>
        <w:t>,</w:t>
      </w:r>
      <w:r w:rsidR="005B71FE" w:rsidRPr="00017A00">
        <w:rPr>
          <w:rFonts w:cs="Times New Roman"/>
          <w:szCs w:val="24"/>
        </w:rPr>
        <w:t xml:space="preserve"> and </w:t>
      </w:r>
      <w:r w:rsidR="00765641" w:rsidRPr="00017A00">
        <w:rPr>
          <w:rFonts w:cs="Times New Roman"/>
          <w:szCs w:val="24"/>
        </w:rPr>
        <w:t>themes.</w:t>
      </w:r>
    </w:p>
    <w:p w14:paraId="4642C9BE" w14:textId="77777777" w:rsidR="00160766" w:rsidRPr="004F0F01" w:rsidRDefault="00160766" w:rsidP="005679DA">
      <w:pPr>
        <w:pStyle w:val="Heading2"/>
      </w:pPr>
    </w:p>
    <w:p w14:paraId="658A57EB" w14:textId="0AF7A27C" w:rsidR="000301D7" w:rsidRPr="00D647BB" w:rsidRDefault="00782BC8" w:rsidP="005679DA">
      <w:pPr>
        <w:pStyle w:val="Heading2"/>
      </w:pPr>
      <w:r w:rsidRPr="004F0F01">
        <w:t>Findings</w:t>
      </w:r>
      <w:bookmarkStart w:id="0" w:name="_Hlk117324543"/>
    </w:p>
    <w:p w14:paraId="3262F74A" w14:textId="59212AEA" w:rsidR="000301D7" w:rsidRPr="00D647BB" w:rsidRDefault="00F54369" w:rsidP="00D647BB">
      <w:pPr>
        <w:pStyle w:val="Heading3"/>
      </w:pPr>
      <w:r w:rsidRPr="004F0F01">
        <w:t xml:space="preserve">Lack of IPV Education and Training </w:t>
      </w:r>
    </w:p>
    <w:p w14:paraId="7B5221AC" w14:textId="4E91688E" w:rsidR="00220DA1" w:rsidRPr="0045789C" w:rsidRDefault="00220DA1" w:rsidP="00E51BAD">
      <w:r w:rsidRPr="0045789C">
        <w:t xml:space="preserve">Baum et al.’s (2022) study across </w:t>
      </w:r>
      <w:r w:rsidR="002454BE">
        <w:t>seventeen</w:t>
      </w:r>
      <w:r w:rsidR="002454BE" w:rsidRPr="0045789C">
        <w:t xml:space="preserve"> </w:t>
      </w:r>
      <w:r w:rsidRPr="0045789C">
        <w:t xml:space="preserve">Australian medical schools </w:t>
      </w:r>
      <w:r w:rsidR="001F6D54" w:rsidRPr="0045789C">
        <w:t>ha</w:t>
      </w:r>
      <w:r w:rsidR="00017AB7" w:rsidRPr="0045789C">
        <w:t>d</w:t>
      </w:r>
      <w:r w:rsidR="001F6D54" w:rsidRPr="0045789C">
        <w:t xml:space="preserve"> some participants questioning the </w:t>
      </w:r>
      <w:r w:rsidR="00522BB5" w:rsidRPr="0045789C">
        <w:t>insufficient focus on IPV</w:t>
      </w:r>
      <w:r w:rsidRPr="0045789C">
        <w:t xml:space="preserve">. "One student asked why such an important public health issue was only given one hour in the whole curriculum. I was unable to answer her" (Baum et al., 2022, p.113). Furthermore, the study participants highlighted a need to have IPV education embedded throughout degrees, not condensed to one part of the course (Baum et al., 2022). Baum et al. (2022) found that when universities provided compulsory IPV education, it was predominantly provided within general practice, </w:t>
      </w:r>
      <w:r w:rsidR="00B420C4" w:rsidRPr="0045789C">
        <w:t>obstetrics,</w:t>
      </w:r>
      <w:r w:rsidRPr="0045789C">
        <w:t xml:space="preserve"> and gynaecology at a higher rate than paediatrics</w:t>
      </w:r>
      <w:r w:rsidR="002F06A0" w:rsidRPr="0045789C">
        <w:t xml:space="preserve"> </w:t>
      </w:r>
      <w:r w:rsidR="001B1BDA" w:rsidRPr="0045789C">
        <w:t xml:space="preserve">although </w:t>
      </w:r>
      <w:r w:rsidRPr="0045789C">
        <w:t>IPV does not relate to specific fields</w:t>
      </w:r>
      <w:r w:rsidR="001978BB" w:rsidRPr="0045789C">
        <w:t xml:space="preserve">, and </w:t>
      </w:r>
      <w:bookmarkStart w:id="1" w:name="_Hlk116389837"/>
      <w:r w:rsidR="001978BB" w:rsidRPr="0045789C">
        <w:t>s</w:t>
      </w:r>
      <w:r w:rsidRPr="0045789C">
        <w:t>ome discipline leads were 'unprepared' to include IPV education in their curriculum, leading to IPV education getting lost.</w:t>
      </w:r>
      <w:bookmarkEnd w:id="1"/>
      <w:r w:rsidRPr="0045789C">
        <w:t xml:space="preserve"> </w:t>
      </w:r>
      <w:r w:rsidR="00867C81" w:rsidRPr="0045789C">
        <w:t>T</w:t>
      </w:r>
      <w:r w:rsidRPr="0045789C">
        <w:t xml:space="preserve">ime constraints </w:t>
      </w:r>
      <w:r w:rsidR="008A1807" w:rsidRPr="0045789C">
        <w:t>resulting from</w:t>
      </w:r>
      <w:r w:rsidRPr="0045789C">
        <w:t xml:space="preserve"> already overloaded curriculums, competing demands between departments, and a lack of skilled experts, resources and funding</w:t>
      </w:r>
      <w:r w:rsidR="008A1807" w:rsidRPr="0045789C">
        <w:t xml:space="preserve"> were </w:t>
      </w:r>
      <w:r w:rsidR="00EB26F2" w:rsidRPr="0045789C">
        <w:t>other reasons for the non-inclusion of IPV</w:t>
      </w:r>
      <w:r w:rsidR="00B672CB">
        <w:t xml:space="preserve"> </w:t>
      </w:r>
      <w:r w:rsidR="00B672CB" w:rsidRPr="002454BE">
        <w:t>education</w:t>
      </w:r>
      <w:r w:rsidRPr="0045789C">
        <w:t xml:space="preserve"> (Baum et al., 2022). Turner and Walsh’s (2020) study had similar findings, with </w:t>
      </w:r>
      <w:r w:rsidR="00A758DB" w:rsidRPr="0045789C">
        <w:t>IPV</w:t>
      </w:r>
      <w:r w:rsidRPr="0045789C">
        <w:t xml:space="preserve"> professionals who held either social work or psychology degrees stating that their education did not prepare them with the knowledge and skills for working in the field of </w:t>
      </w:r>
      <w:r w:rsidR="00101422" w:rsidRPr="0045789C">
        <w:t>IPV</w:t>
      </w:r>
      <w:r w:rsidRPr="0045789C">
        <w:t xml:space="preserve">. Those with social work degrees stated that </w:t>
      </w:r>
      <w:r w:rsidR="00101422" w:rsidRPr="0045789C">
        <w:t>IPV</w:t>
      </w:r>
      <w:r w:rsidRPr="0045789C">
        <w:t xml:space="preserve"> should be a part of the core knowledge and skills in the degree due to the presence of </w:t>
      </w:r>
      <w:r w:rsidR="00EB278A" w:rsidRPr="0045789C">
        <w:t>IPV</w:t>
      </w:r>
      <w:r w:rsidRPr="0045789C">
        <w:t xml:space="preserve"> within all sectors and areas of practice (Turner </w:t>
      </w:r>
      <w:r w:rsidR="00414610" w:rsidRPr="0045789C">
        <w:t>&amp;</w:t>
      </w:r>
      <w:r w:rsidRPr="0045789C">
        <w:t xml:space="preserve"> Walsh, 2020). </w:t>
      </w:r>
    </w:p>
    <w:p w14:paraId="506E322E" w14:textId="1BA06E9F" w:rsidR="00220DA1" w:rsidRPr="0045789C" w:rsidRDefault="00277FF7" w:rsidP="00E51BAD">
      <w:r w:rsidRPr="0045789C">
        <w:t xml:space="preserve">Training and preparedness of professionals </w:t>
      </w:r>
      <w:r w:rsidR="00B06A32" w:rsidRPr="0045789C">
        <w:t xml:space="preserve">have been another area that </w:t>
      </w:r>
      <w:r w:rsidR="00CD5609" w:rsidRPr="0045789C">
        <w:t xml:space="preserve">would need further attention. </w:t>
      </w:r>
      <w:r w:rsidR="00220DA1" w:rsidRPr="0045789C">
        <w:t>Fisher et al. (2021) looked at psychologists practising in clinical neuropsychology</w:t>
      </w:r>
      <w:r w:rsidR="002F5ED2" w:rsidRPr="0045789C">
        <w:t xml:space="preserve"> and found </w:t>
      </w:r>
      <w:r w:rsidR="00220DA1" w:rsidRPr="0045789C">
        <w:t xml:space="preserve">that more than half of the participants rated themselves as having little to no knowledge of working clinically in </w:t>
      </w:r>
      <w:r w:rsidR="00EB278A" w:rsidRPr="0045789C">
        <w:t>IPV</w:t>
      </w:r>
      <w:r w:rsidR="00220DA1" w:rsidRPr="0045789C">
        <w:t xml:space="preserve"> and reported not receiving </w:t>
      </w:r>
      <w:r w:rsidR="00EB278A" w:rsidRPr="0045789C">
        <w:t>IPV</w:t>
      </w:r>
      <w:r w:rsidR="00220DA1" w:rsidRPr="0045789C">
        <w:t xml:space="preserve"> training (Fisher et al., 2021). A lack of training resulted in respondents reporting they lacked confidence in this area, with almost half of the respondents commenting that they do not screen for </w:t>
      </w:r>
      <w:r w:rsidR="00037BFD" w:rsidRPr="0045789C">
        <w:t>IPV</w:t>
      </w:r>
      <w:r w:rsidR="00220DA1" w:rsidRPr="0045789C">
        <w:t xml:space="preserve"> even though most work with clients that have disclosed </w:t>
      </w:r>
      <w:r w:rsidR="00037BFD" w:rsidRPr="0045789C">
        <w:t>IPV</w:t>
      </w:r>
      <w:r w:rsidR="00220DA1" w:rsidRPr="0045789C">
        <w:t xml:space="preserve"> (Fisher et al., 2021). This reluctance to help women </w:t>
      </w:r>
      <w:r w:rsidR="00037BFD" w:rsidRPr="0045789C">
        <w:t>experiencing</w:t>
      </w:r>
      <w:r w:rsidR="00220DA1" w:rsidRPr="0045789C">
        <w:t xml:space="preserve"> IPV was also present among health professionals in </w:t>
      </w:r>
      <w:r w:rsidR="00DB7ECF" w:rsidRPr="0045789C">
        <w:t>a study conducted by</w:t>
      </w:r>
      <w:r w:rsidR="00220DA1" w:rsidRPr="0045789C">
        <w:t xml:space="preserve"> Doran et al. (2019) </w:t>
      </w:r>
      <w:r w:rsidR="00A0550C" w:rsidRPr="0045789C">
        <w:t>and a reason being</w:t>
      </w:r>
      <w:r w:rsidR="00220DA1" w:rsidRPr="0045789C">
        <w:t xml:space="preserve"> health professionals not knowing how to help. In Fisher et al.’s (2021) study, psychologists that did undertake training reported that the most frequent training mode was self-taught (ad-hoc,</w:t>
      </w:r>
      <w:r w:rsidR="008E34E1" w:rsidRPr="0045789C">
        <w:t xml:space="preserve"> </w:t>
      </w:r>
      <w:r w:rsidR="00220DA1" w:rsidRPr="0045789C">
        <w:t xml:space="preserve">self-guided and unstructured) or in-service sessions at their clinics. </w:t>
      </w:r>
      <w:r w:rsidR="00A34F53" w:rsidRPr="0045789C">
        <w:t>Only h</w:t>
      </w:r>
      <w:r w:rsidR="00220DA1" w:rsidRPr="0045789C">
        <w:t xml:space="preserve">alf </w:t>
      </w:r>
      <w:r w:rsidR="00A34F53" w:rsidRPr="0045789C">
        <w:t xml:space="preserve">of the participants in their study </w:t>
      </w:r>
      <w:r w:rsidR="00220DA1" w:rsidRPr="0045789C">
        <w:t xml:space="preserve">believe they are 'somewhat' aware of key indicators of </w:t>
      </w:r>
      <w:r w:rsidR="00B949C6" w:rsidRPr="0045789C">
        <w:t>IP</w:t>
      </w:r>
      <w:r w:rsidR="00220DA1" w:rsidRPr="0045789C">
        <w:t>V and if a client is at risk. However, McLindon et al.’s (2019) study</w:t>
      </w:r>
      <w:r w:rsidR="00081385" w:rsidRPr="0045789C">
        <w:t xml:space="preserve"> reveals that</w:t>
      </w:r>
      <w:r w:rsidR="00220DA1" w:rsidRPr="0045789C">
        <w:t xml:space="preserve"> health professionals (nurses, </w:t>
      </w:r>
      <w:proofErr w:type="gramStart"/>
      <w:r w:rsidR="00220DA1" w:rsidRPr="0045789C">
        <w:t>doctors</w:t>
      </w:r>
      <w:proofErr w:type="gramEnd"/>
      <w:r w:rsidR="00220DA1" w:rsidRPr="0045789C">
        <w:t xml:space="preserve"> and social workers) with personal experiences of </w:t>
      </w:r>
      <w:r w:rsidR="00081385" w:rsidRPr="0045789C">
        <w:t>IPV</w:t>
      </w:r>
      <w:r w:rsidR="00220DA1" w:rsidRPr="0045789C">
        <w:t xml:space="preserve"> were more likely to have received one or more days of </w:t>
      </w:r>
      <w:r w:rsidR="00081385" w:rsidRPr="0045789C">
        <w:t>IPV</w:t>
      </w:r>
      <w:r w:rsidR="00220DA1" w:rsidRPr="0045789C">
        <w:t xml:space="preserve"> training than those who had never experienced </w:t>
      </w:r>
      <w:r w:rsidR="00081385" w:rsidRPr="0045789C">
        <w:t>IP</w:t>
      </w:r>
      <w:r w:rsidR="00220DA1" w:rsidRPr="0045789C">
        <w:t xml:space="preserve">V. </w:t>
      </w:r>
    </w:p>
    <w:p w14:paraId="2E87FAE9" w14:textId="7B7C11B5" w:rsidR="00220DA1" w:rsidRPr="0045789C" w:rsidRDefault="00B86A05" w:rsidP="00E51BAD">
      <w:r w:rsidRPr="0045789C">
        <w:t xml:space="preserve">Providing further evidence to the absence of </w:t>
      </w:r>
      <w:r w:rsidR="00905891" w:rsidRPr="0045789C">
        <w:t xml:space="preserve">IPV training, </w:t>
      </w:r>
      <w:r w:rsidR="00220DA1" w:rsidRPr="0045789C">
        <w:t>Taylor et al</w:t>
      </w:r>
      <w:r w:rsidR="00905891" w:rsidRPr="0045789C">
        <w:t>.</w:t>
      </w:r>
      <w:r w:rsidR="00220DA1" w:rsidRPr="0045789C">
        <w:t xml:space="preserve"> (2017) highlighted that not all professionals have </w:t>
      </w:r>
      <w:r w:rsidR="00905891" w:rsidRPr="0045789C">
        <w:t>IPV</w:t>
      </w:r>
      <w:r w:rsidR="00220DA1" w:rsidRPr="0045789C">
        <w:t xml:space="preserve"> training specific to their line of work, which impacts their responses to women experiencing </w:t>
      </w:r>
      <w:r w:rsidR="005D0B9A" w:rsidRPr="0045789C">
        <w:t>IPV</w:t>
      </w:r>
      <w:r w:rsidR="00220DA1" w:rsidRPr="0045789C">
        <w:t xml:space="preserve">. </w:t>
      </w:r>
      <w:r w:rsidR="00BD77ED" w:rsidRPr="0045789C">
        <w:t>Women p</w:t>
      </w:r>
      <w:r w:rsidR="00220DA1" w:rsidRPr="0045789C">
        <w:t xml:space="preserve">articipants </w:t>
      </w:r>
      <w:r w:rsidR="00710B3D" w:rsidRPr="0045789C">
        <w:t xml:space="preserve">with lived experience of IPV in </w:t>
      </w:r>
      <w:r w:rsidR="00220DA1" w:rsidRPr="0045789C">
        <w:t>the</w:t>
      </w:r>
      <w:r w:rsidR="00BF4FE9" w:rsidRPr="0045789C">
        <w:t xml:space="preserve">ir </w:t>
      </w:r>
      <w:r w:rsidR="00220DA1" w:rsidRPr="0045789C">
        <w:t xml:space="preserve">study </w:t>
      </w:r>
      <w:r w:rsidR="00C517C3" w:rsidRPr="0045789C">
        <w:t xml:space="preserve">revealed that </w:t>
      </w:r>
      <w:r w:rsidR="00220DA1" w:rsidRPr="0045789C">
        <w:t>police and magistrates</w:t>
      </w:r>
      <w:r w:rsidR="003341AC" w:rsidRPr="0045789C">
        <w:t xml:space="preserve"> </w:t>
      </w:r>
      <w:r w:rsidR="00220DA1" w:rsidRPr="0045789C">
        <w:t xml:space="preserve">required more training in </w:t>
      </w:r>
      <w:r w:rsidR="003341AC" w:rsidRPr="0045789C">
        <w:t>IPV</w:t>
      </w:r>
      <w:r w:rsidR="00220DA1" w:rsidRPr="0045789C">
        <w:t xml:space="preserve">. </w:t>
      </w:r>
      <w:r w:rsidR="00EE2103" w:rsidRPr="0045789C">
        <w:t>They found</w:t>
      </w:r>
      <w:r w:rsidR="00220DA1" w:rsidRPr="0045789C">
        <w:t xml:space="preserve"> that police</w:t>
      </w:r>
      <w:r w:rsidR="00421CD4" w:rsidRPr="0045789C">
        <w:t>,</w:t>
      </w:r>
      <w:r w:rsidR="00220DA1" w:rsidRPr="0045789C">
        <w:t xml:space="preserve"> </w:t>
      </w:r>
      <w:proofErr w:type="gramStart"/>
      <w:r w:rsidR="00220DA1" w:rsidRPr="0045789C">
        <w:t>lawyers</w:t>
      </w:r>
      <w:proofErr w:type="gramEnd"/>
      <w:r w:rsidR="00220DA1" w:rsidRPr="0045789C">
        <w:t xml:space="preserve"> and child protection </w:t>
      </w:r>
      <w:r w:rsidR="00421CD4" w:rsidRPr="0045789C">
        <w:t xml:space="preserve">workers </w:t>
      </w:r>
      <w:r w:rsidR="00220DA1" w:rsidRPr="0045789C">
        <w:t>do not take women's safety seriously, mimicking the power and control of perpetrators. When police do not understand the dynamics of IPV, participants reported that women experiencing IPV are dismissed or treated rudely, as if they are making up abuse or deserve i</w:t>
      </w:r>
      <w:r w:rsidR="00220DA1" w:rsidRPr="00D647BB">
        <w:t>t (Tay</w:t>
      </w:r>
      <w:r w:rsidR="008C438E" w:rsidRPr="00D647BB">
        <w:t>l</w:t>
      </w:r>
      <w:r w:rsidR="00220DA1" w:rsidRPr="00D647BB">
        <w:t xml:space="preserve">or et al., 2017). </w:t>
      </w:r>
      <w:r w:rsidR="00220DA1" w:rsidRPr="0045789C">
        <w:t>Participants from Turner and Walsh (2020) explained that they believe</w:t>
      </w:r>
      <w:r w:rsidR="000273B8" w:rsidRPr="0045789C">
        <w:t>d</w:t>
      </w:r>
      <w:r w:rsidR="00220DA1" w:rsidRPr="0045789C">
        <w:t xml:space="preserve"> police at times treat women poorly due to their focus on physical harm, overlooking non-physical harm and being dismissive if there are little to no visible injuries. </w:t>
      </w:r>
      <w:r w:rsidR="005350DD" w:rsidRPr="0045789C">
        <w:t xml:space="preserve">Supporting this view is </w:t>
      </w:r>
      <w:r w:rsidR="00220DA1" w:rsidRPr="0045789C">
        <w:t xml:space="preserve">Taylor et al.’s (2017) </w:t>
      </w:r>
      <w:r w:rsidR="00877DDA" w:rsidRPr="0045789C">
        <w:t xml:space="preserve">finding </w:t>
      </w:r>
      <w:r w:rsidR="00220DA1" w:rsidRPr="0045789C">
        <w:t xml:space="preserve">that police are quick to act when abuse is clear or physically evident but are reluctant to act when abuse is not clear. </w:t>
      </w:r>
      <w:r w:rsidR="00440595" w:rsidRPr="0045789C">
        <w:t xml:space="preserve">IPV </w:t>
      </w:r>
      <w:r w:rsidR="00220DA1" w:rsidRPr="0045789C">
        <w:t xml:space="preserve">professionals stress that without understanding from external agencies over issues that need immediate action, </w:t>
      </w:r>
      <w:r w:rsidR="00440595" w:rsidRPr="0045789C">
        <w:t>IPV</w:t>
      </w:r>
      <w:r w:rsidR="00220DA1" w:rsidRPr="0045789C">
        <w:t xml:space="preserve"> professionals must do many unnecessary and frustrating follow-ups, taking time away from time-sensitive issues for women experiencing </w:t>
      </w:r>
      <w:r w:rsidR="00C92605" w:rsidRPr="0045789C">
        <w:t>IPV</w:t>
      </w:r>
      <w:r w:rsidR="00220DA1" w:rsidRPr="0045789C">
        <w:t xml:space="preserve"> (Turner and Walsh, 2020). </w:t>
      </w:r>
    </w:p>
    <w:p w14:paraId="1803F245" w14:textId="543D140E" w:rsidR="000301D7" w:rsidRPr="00D647BB" w:rsidRDefault="006932DA" w:rsidP="00D647BB">
      <w:r w:rsidRPr="0045789C">
        <w:t xml:space="preserve">Community education is another area </w:t>
      </w:r>
      <w:r w:rsidR="00076A31" w:rsidRPr="0045789C">
        <w:t xml:space="preserve">that needs attention. </w:t>
      </w:r>
      <w:r w:rsidR="00CA0E0B" w:rsidRPr="0045789C">
        <w:t>P</w:t>
      </w:r>
      <w:r w:rsidR="00CE55D4" w:rsidRPr="0045789C">
        <w:t>articipants</w:t>
      </w:r>
      <w:r w:rsidR="00CA0E0B" w:rsidRPr="0045789C">
        <w:t xml:space="preserve"> belonging to faith-based communities</w:t>
      </w:r>
      <w:r w:rsidR="00CE55D4" w:rsidRPr="0045789C">
        <w:t xml:space="preserve"> in </w:t>
      </w:r>
      <w:r w:rsidR="00220DA1" w:rsidRPr="0045789C">
        <w:t>Truong et al.</w:t>
      </w:r>
      <w:r w:rsidR="00E16297" w:rsidRPr="0045789C">
        <w:t>’s</w:t>
      </w:r>
      <w:r w:rsidR="00220DA1" w:rsidRPr="0045789C">
        <w:t xml:space="preserve"> (2022)</w:t>
      </w:r>
      <w:r w:rsidR="00E16297" w:rsidRPr="0045789C">
        <w:t xml:space="preserve"> study</w:t>
      </w:r>
      <w:r w:rsidR="00CE55D4" w:rsidRPr="0045789C">
        <w:t xml:space="preserve"> </w:t>
      </w:r>
      <w:r w:rsidR="008B033C" w:rsidRPr="0045789C">
        <w:t>pointed out</w:t>
      </w:r>
      <w:r w:rsidR="00220DA1" w:rsidRPr="0045789C">
        <w:t xml:space="preserve"> that while </w:t>
      </w:r>
      <w:r w:rsidR="00AC3D49" w:rsidRPr="0045789C">
        <w:t>IPV</w:t>
      </w:r>
      <w:r w:rsidR="00220DA1" w:rsidRPr="0045789C">
        <w:t xml:space="preserve"> awareness is increasing, communities have insufficient knowledge and understanding of the issue, with some women not knowing that they are being abused. </w:t>
      </w:r>
      <w:r w:rsidR="008A097F" w:rsidRPr="0045789C">
        <w:t>IPV</w:t>
      </w:r>
      <w:r w:rsidR="00220DA1" w:rsidRPr="0045789C">
        <w:t xml:space="preserve"> within </w:t>
      </w:r>
      <w:r w:rsidR="00EB3DD1" w:rsidRPr="0045789C">
        <w:t>those</w:t>
      </w:r>
      <w:r w:rsidR="00220DA1" w:rsidRPr="0045789C">
        <w:t xml:space="preserve"> communities is often limited to extreme physical violence, with other forms of violence not recognised</w:t>
      </w:r>
      <w:r w:rsidR="006D4D75" w:rsidRPr="0045789C">
        <w:t xml:space="preserve">, which </w:t>
      </w:r>
      <w:r w:rsidR="005D7774" w:rsidRPr="0045789C">
        <w:t xml:space="preserve">results in </w:t>
      </w:r>
      <w:r w:rsidR="00220DA1" w:rsidRPr="0045789C">
        <w:t xml:space="preserve">victim-blaming and not believing women when disclosures are made. </w:t>
      </w:r>
      <w:r w:rsidR="00A138F6" w:rsidRPr="0045789C">
        <w:t xml:space="preserve"> </w:t>
      </w:r>
    </w:p>
    <w:p w14:paraId="2F147049" w14:textId="732B03C8" w:rsidR="000301D7" w:rsidRPr="00D647BB" w:rsidRDefault="00EA49AB" w:rsidP="00D647BB">
      <w:pPr>
        <w:pStyle w:val="Heading3"/>
      </w:pPr>
      <w:r w:rsidRPr="0045789C">
        <w:t xml:space="preserve">Issues with services </w:t>
      </w:r>
      <w:r w:rsidR="00220DA1" w:rsidRPr="0045789C">
        <w:t xml:space="preserve"> </w:t>
      </w:r>
    </w:p>
    <w:p w14:paraId="66A9DF14" w14:textId="367BE3FF" w:rsidR="00220DA1" w:rsidRPr="0045789C" w:rsidRDefault="00220DA1" w:rsidP="00E51BAD">
      <w:r w:rsidRPr="0045789C">
        <w:t xml:space="preserve">Turner and Walsh’s (2020) study found that a lack of cohesion at the intersection between the </w:t>
      </w:r>
      <w:r w:rsidR="00FF2D0B" w:rsidRPr="0045789C">
        <w:t>IPV</w:t>
      </w:r>
      <w:r w:rsidRPr="0045789C">
        <w:t xml:space="preserve"> sector and external agencies was </w:t>
      </w:r>
      <w:r w:rsidR="00B50809" w:rsidRPr="0045789C">
        <w:t>a</w:t>
      </w:r>
      <w:r w:rsidRPr="0045789C">
        <w:t xml:space="preserve"> significant impediment to their work with women. Participants </w:t>
      </w:r>
      <w:r w:rsidR="00B50809" w:rsidRPr="0045789C">
        <w:t xml:space="preserve">in their study </w:t>
      </w:r>
      <w:r w:rsidRPr="0045789C">
        <w:t xml:space="preserve">felt that organisational culture created conflict with the leading external agencies (child protection, police, government housing and men’s services) they intersected. In Spangaro et al.’s (2019) study, Aboriginal women also touched on the historical organisational culture of child protection services as a reason they did not want to disclose IPV to health professionals as Aboriginal women feared the repercussions of statutory child protection services. However, Taylor et al.’s (2017) study </w:t>
      </w:r>
      <w:r w:rsidR="001C28F0" w:rsidRPr="0045789C">
        <w:t>found that</w:t>
      </w:r>
      <w:r w:rsidRPr="0045789C">
        <w:t xml:space="preserve"> high volumes of work impacted the </w:t>
      </w:r>
      <w:r w:rsidR="00FE38C9" w:rsidRPr="0045789C">
        <w:t>services offered</w:t>
      </w:r>
      <w:r w:rsidRPr="0045789C">
        <w:t xml:space="preserve"> within the </w:t>
      </w:r>
      <w:r w:rsidR="001C28F0" w:rsidRPr="0045789C">
        <w:t>IPV</w:t>
      </w:r>
      <w:r w:rsidRPr="0045789C">
        <w:t xml:space="preserve"> sector</w:t>
      </w:r>
      <w:r w:rsidR="008601C6" w:rsidRPr="0045789C">
        <w:t xml:space="preserve"> in addition to </w:t>
      </w:r>
      <w:r w:rsidRPr="0045789C">
        <w:t>a lack of funding</w:t>
      </w:r>
      <w:r w:rsidR="0012795B" w:rsidRPr="0045789C">
        <w:t xml:space="preserve">, </w:t>
      </w:r>
      <w:r w:rsidRPr="0045789C">
        <w:t xml:space="preserve">rising demands and limited resources. Aboriginal Elders </w:t>
      </w:r>
      <w:r w:rsidR="0067792F" w:rsidRPr="0045789C">
        <w:t>in Blagg et al</w:t>
      </w:r>
      <w:r w:rsidR="00ED4D49" w:rsidRPr="0045789C">
        <w:t>.’</w:t>
      </w:r>
      <w:r w:rsidR="009B4160">
        <w:t>s</w:t>
      </w:r>
      <w:r w:rsidR="00ED4D49" w:rsidRPr="0045789C">
        <w:t xml:space="preserve"> (2022</w:t>
      </w:r>
      <w:r w:rsidR="007C6E35" w:rsidRPr="0045789C">
        <w:t>) study</w:t>
      </w:r>
      <w:r w:rsidR="00ED4D49" w:rsidRPr="0045789C">
        <w:t xml:space="preserve"> </w:t>
      </w:r>
      <w:r w:rsidRPr="0045789C">
        <w:t xml:space="preserve">explicitly stated that a lack of funding led to the disempowerment of communities experiencing IPV. The defunding of </w:t>
      </w:r>
      <w:r w:rsidR="00674F4C" w:rsidRPr="0045789C">
        <w:t>community controlled</w:t>
      </w:r>
      <w:r w:rsidRPr="0045789C">
        <w:t xml:space="preserve"> IPV services and reinvesting into religious or non-government IPV services led to culturally unsafe IPV services for Aboriginal women (Blagg et al., 2022). </w:t>
      </w:r>
    </w:p>
    <w:p w14:paraId="356F8B68" w14:textId="5E5EE1A8" w:rsidR="00220DA1" w:rsidRPr="0045789C" w:rsidRDefault="00220DA1" w:rsidP="00E51BAD">
      <w:r w:rsidRPr="0045789C">
        <w:t xml:space="preserve">A lack of access to appropriate services was </w:t>
      </w:r>
      <w:r w:rsidR="003269B5" w:rsidRPr="0045789C">
        <w:t xml:space="preserve">another concern </w:t>
      </w:r>
      <w:r w:rsidR="006C49AB">
        <w:t>found by</w:t>
      </w:r>
      <w:r w:rsidRPr="0045789C">
        <w:t xml:space="preserve"> Blagg et al</w:t>
      </w:r>
      <w:r w:rsidR="00BF6BF2" w:rsidRPr="0045789C">
        <w:t>.</w:t>
      </w:r>
      <w:r w:rsidRPr="0045789C">
        <w:t xml:space="preserve"> (2022), Meyer and </w:t>
      </w:r>
      <w:proofErr w:type="spellStart"/>
      <w:r w:rsidRPr="0045789C">
        <w:t>Stambe</w:t>
      </w:r>
      <w:proofErr w:type="spellEnd"/>
      <w:r w:rsidRPr="0045789C">
        <w:t xml:space="preserve"> (2021) and Taylor et al. (2017). Aboriginal Elders from Blagg et al.’s (2022) study highlighted that services were needed on </w:t>
      </w:r>
      <w:r w:rsidR="008635F7">
        <w:t>C</w:t>
      </w:r>
      <w:r w:rsidRPr="0045789C">
        <w:t xml:space="preserve">ountry in regional Australian areas and should focus on therapeutic and preventative programs that teach people how to be strong in </w:t>
      </w:r>
      <w:r w:rsidR="004F7E48" w:rsidRPr="0045789C">
        <w:t>c</w:t>
      </w:r>
      <w:r w:rsidRPr="0045789C">
        <w:t xml:space="preserve">ulture and understand their roles and responsibilities within family and community. Specifically, Aboriginal Elders wanted </w:t>
      </w:r>
      <w:r w:rsidR="00897184" w:rsidRPr="0045789C">
        <w:t>their</w:t>
      </w:r>
      <w:r w:rsidR="00947F98" w:rsidRPr="0045789C">
        <w:t xml:space="preserve"> men to actively seek help</w:t>
      </w:r>
      <w:r w:rsidR="007D56B5" w:rsidRPr="0045789C">
        <w:t xml:space="preserve"> and hence they sought</w:t>
      </w:r>
      <w:r w:rsidRPr="0045789C">
        <w:t xml:space="preserve"> more mental health help </w:t>
      </w:r>
      <w:r w:rsidR="00DF66B2" w:rsidRPr="0045789C">
        <w:t xml:space="preserve">through rehabilitation centres </w:t>
      </w:r>
      <w:r w:rsidRPr="0045789C">
        <w:t xml:space="preserve">for men coming out of prison and funding for Aboriginal community organisations to support women who choose to rebuild their relationships (Blagg et al., 2022). </w:t>
      </w:r>
      <w:r w:rsidR="00531451" w:rsidRPr="0045789C">
        <w:t>In a similar vein</w:t>
      </w:r>
      <w:r w:rsidRPr="0045789C">
        <w:t xml:space="preserve">, women experiencing IPV </w:t>
      </w:r>
      <w:r w:rsidR="00E5293D" w:rsidRPr="0045789C">
        <w:t>in</w:t>
      </w:r>
      <w:r w:rsidRPr="0045789C">
        <w:t xml:space="preserve"> Taylor et al.’s (2017) study felt that more therapeutic support and programs </w:t>
      </w:r>
      <w:r w:rsidR="00E5293D" w:rsidRPr="0045789C">
        <w:t>are</w:t>
      </w:r>
      <w:r w:rsidRPr="0045789C">
        <w:t xml:space="preserve"> needed for men and more behaviour change programs for perpetrators. </w:t>
      </w:r>
    </w:p>
    <w:p w14:paraId="1343D898" w14:textId="340E1B9A" w:rsidR="00220DA1" w:rsidRPr="0045789C" w:rsidRDefault="00220DA1" w:rsidP="00E51BAD">
      <w:r w:rsidRPr="0045789C">
        <w:t xml:space="preserve">Meyer and </w:t>
      </w:r>
      <w:proofErr w:type="spellStart"/>
      <w:r w:rsidRPr="0045789C">
        <w:t>Stambe’s</w:t>
      </w:r>
      <w:proofErr w:type="spellEnd"/>
      <w:r w:rsidRPr="0045789C">
        <w:t xml:space="preserve"> (2021) study focused on services </w:t>
      </w:r>
      <w:r w:rsidR="00D400C9" w:rsidRPr="0045789C">
        <w:t xml:space="preserve">for </w:t>
      </w:r>
      <w:r w:rsidRPr="0045789C">
        <w:t xml:space="preserve">Aboriginal women </w:t>
      </w:r>
      <w:r w:rsidR="00D400C9" w:rsidRPr="0045789C">
        <w:t xml:space="preserve">who </w:t>
      </w:r>
      <w:r w:rsidRPr="0045789C">
        <w:t xml:space="preserve">decide to leave abusive partners. Participants </w:t>
      </w:r>
      <w:r w:rsidR="00D400C9" w:rsidRPr="0045789C">
        <w:t xml:space="preserve">in their study </w:t>
      </w:r>
      <w:r w:rsidRPr="0045789C">
        <w:t>stated that housing was a predominant issue when leaving violent relationships due to the lack of affordable and appropriate housing in regional settings</w:t>
      </w:r>
      <w:r w:rsidR="00DD79C8" w:rsidRPr="0045789C">
        <w:t>.</w:t>
      </w:r>
      <w:r w:rsidRPr="0045789C">
        <w:t xml:space="preserve"> Private rentals are unattainable for low-income single Aboriginal women due to the </w:t>
      </w:r>
      <w:r w:rsidR="004279A9" w:rsidRPr="0045789C">
        <w:t>high rental price</w:t>
      </w:r>
      <w:r w:rsidRPr="0045789C">
        <w:t xml:space="preserve">. Many Aboriginal women had more than three children in their care, making it hard to find appropriate housing, forcing them into substandard and run-down homes. </w:t>
      </w:r>
      <w:r w:rsidR="00EC5D97" w:rsidRPr="0045789C">
        <w:t>IPV</w:t>
      </w:r>
      <w:r w:rsidRPr="0045789C">
        <w:t xml:space="preserve"> professionals </w:t>
      </w:r>
      <w:r w:rsidR="00EC5D97" w:rsidRPr="0045789C">
        <w:t>in</w:t>
      </w:r>
      <w:r w:rsidRPr="0045789C">
        <w:t xml:space="preserve"> Turner and Walsh’s (2020) study highlighted a safety issue for women accessing government housing in that </w:t>
      </w:r>
      <w:r w:rsidRPr="00D647BB">
        <w:t xml:space="preserve">there is </w:t>
      </w:r>
      <w:r w:rsidR="00B73813" w:rsidRPr="00D647BB">
        <w:t xml:space="preserve">a lot of </w:t>
      </w:r>
      <w:r w:rsidRPr="00D647BB">
        <w:t xml:space="preserve">red tape </w:t>
      </w:r>
      <w:r w:rsidRPr="0045789C">
        <w:t>in making changes to government homes</w:t>
      </w:r>
      <w:r w:rsidR="00146F7C" w:rsidRPr="0045789C">
        <w:t xml:space="preserve">, which leaves </w:t>
      </w:r>
      <w:r w:rsidR="00537EDB" w:rsidRPr="0045789C">
        <w:t xml:space="preserve">high risk </w:t>
      </w:r>
      <w:r w:rsidR="002D00D7" w:rsidRPr="0045789C">
        <w:t xml:space="preserve">women </w:t>
      </w:r>
      <w:r w:rsidRPr="0045789C">
        <w:t xml:space="preserve">for extended periods without extra safety measures. Aboriginal women also expressed experiencing discrimination from housing departments, which instilled fears in disclosing IPV to health professionals as they feared it could impact their tenancy if health professionals liaised with housing workers (Spangaro et al., 2019). When access to affordable and appropriate housing is limited, Aboriginal women </w:t>
      </w:r>
      <w:r w:rsidR="00230656" w:rsidRPr="0045789C">
        <w:t>must</w:t>
      </w:r>
      <w:r w:rsidRPr="0045789C">
        <w:t xml:space="preserve"> leave their land</w:t>
      </w:r>
      <w:r w:rsidR="00E853B3" w:rsidRPr="0045789C">
        <w:t xml:space="preserve">, </w:t>
      </w:r>
      <w:r w:rsidRPr="0045789C">
        <w:t>family connections, and support, which create</w:t>
      </w:r>
      <w:r w:rsidR="00884CFF" w:rsidRPr="0045789C">
        <w:t>s</w:t>
      </w:r>
      <w:r w:rsidRPr="0045789C">
        <w:t xml:space="preserve"> a sense of being lost (Meyer &amp; </w:t>
      </w:r>
      <w:proofErr w:type="spellStart"/>
      <w:r w:rsidRPr="0045789C">
        <w:t>Stambe</w:t>
      </w:r>
      <w:proofErr w:type="spellEnd"/>
      <w:r w:rsidRPr="0045789C">
        <w:t>, 2021).</w:t>
      </w:r>
    </w:p>
    <w:p w14:paraId="610F9840" w14:textId="3C0EEA6A" w:rsidR="00C93146" w:rsidRPr="0045789C" w:rsidRDefault="00220DA1" w:rsidP="004E1215">
      <w:pPr>
        <w:rPr>
          <w:rFonts w:cs="Times New Roman"/>
          <w:szCs w:val="24"/>
        </w:rPr>
      </w:pPr>
      <w:r w:rsidRPr="0045789C">
        <w:t>Further to a lack of appropriate government housing, government</w:t>
      </w:r>
      <w:r w:rsidR="00A770D2">
        <w:t xml:space="preserve"> f</w:t>
      </w:r>
      <w:r w:rsidRPr="0045789C">
        <w:t xml:space="preserve">unded refuges are not always appropriate for Aboriginal women. Aboriginal Elders </w:t>
      </w:r>
      <w:r w:rsidR="00B02B4A" w:rsidRPr="0045789C">
        <w:t xml:space="preserve">in Blagg et al.’s (2022) study </w:t>
      </w:r>
      <w:r w:rsidRPr="0045789C">
        <w:t xml:space="preserve">stated that Aboriginal women do not want to access government-funded refuges </w:t>
      </w:r>
      <w:r w:rsidR="00377609" w:rsidRPr="0045789C">
        <w:t>because they might not meet admission criteria</w:t>
      </w:r>
      <w:r w:rsidRPr="0045789C">
        <w:t xml:space="preserve"> </w:t>
      </w:r>
      <w:r w:rsidR="00377609" w:rsidRPr="0045789C">
        <w:t xml:space="preserve">(due to consuming alcohol or having older children in their care), </w:t>
      </w:r>
      <w:r w:rsidRPr="0045789C">
        <w:t xml:space="preserve">they </w:t>
      </w:r>
      <w:r w:rsidR="00276CEE" w:rsidRPr="0045789C">
        <w:t xml:space="preserve">might </w:t>
      </w:r>
      <w:r w:rsidRPr="0045789C">
        <w:t xml:space="preserve">have broken the rules on previous stays, </w:t>
      </w:r>
      <w:r w:rsidR="009632DB" w:rsidRPr="0045789C">
        <w:t>or</w:t>
      </w:r>
      <w:r w:rsidRPr="0045789C">
        <w:t xml:space="preserve"> government-funded refuge</w:t>
      </w:r>
      <w:r w:rsidR="00276CEE" w:rsidRPr="0045789C">
        <w:t>s</w:t>
      </w:r>
      <w:r w:rsidRPr="0045789C">
        <w:t xml:space="preserve"> are not culturally safe (Blagg et al., 2022). Therefore, many Aboriginal women escaping violence use informal refuges by way of Aboriginal women in the community opening their homes (Blagg et al., 2022) or prefer to stay with family members (Meyer &amp; </w:t>
      </w:r>
      <w:proofErr w:type="spellStart"/>
      <w:r w:rsidRPr="0045789C">
        <w:t>Stambe</w:t>
      </w:r>
      <w:proofErr w:type="spellEnd"/>
      <w:r w:rsidRPr="0045789C">
        <w:t xml:space="preserve">, 2021). However, while Aboriginal women in Meyer and </w:t>
      </w:r>
      <w:proofErr w:type="spellStart"/>
      <w:r w:rsidRPr="0045789C">
        <w:t>Stambe’s</w:t>
      </w:r>
      <w:proofErr w:type="spellEnd"/>
      <w:r w:rsidRPr="0045789C">
        <w:t xml:space="preserve"> (2021) study were confident that their families would take them and their children in after leaving abusive relationships, </w:t>
      </w:r>
      <w:r w:rsidRPr="000B2768">
        <w:t xml:space="preserve">often </w:t>
      </w:r>
      <w:r w:rsidRPr="0045789C">
        <w:t xml:space="preserve">family households were already experiencing overcrowding and overstretched resources. Aboriginal women said that the existing household pressures of Aboriginal families exasperated existing intra-family conflicts, led to tenancy breaches and evictions, and most of the time, families eventually asked women and their children to leave (Meyer &amp; </w:t>
      </w:r>
      <w:proofErr w:type="spellStart"/>
      <w:r w:rsidRPr="0045789C">
        <w:t>Stambe</w:t>
      </w:r>
      <w:proofErr w:type="spellEnd"/>
      <w:r w:rsidRPr="0045789C">
        <w:t xml:space="preserve">, 2021). </w:t>
      </w:r>
    </w:p>
    <w:p w14:paraId="2188E1F6" w14:textId="0D0F4DBF" w:rsidR="00B11730" w:rsidRPr="0045789C" w:rsidRDefault="00B61E3B" w:rsidP="00D647BB">
      <w:pPr>
        <w:pStyle w:val="Heading3"/>
      </w:pPr>
      <w:bookmarkStart w:id="2" w:name="_Hlk117324583"/>
      <w:bookmarkEnd w:id="0"/>
      <w:r w:rsidRPr="0045789C">
        <w:t>Systemic Issues</w:t>
      </w:r>
      <w:r w:rsidR="00220DA1" w:rsidRPr="0045789C">
        <w:t xml:space="preserve"> </w:t>
      </w:r>
      <w:bookmarkEnd w:id="2"/>
    </w:p>
    <w:p w14:paraId="1E74C106" w14:textId="067473F1" w:rsidR="00220DA1" w:rsidRPr="00D647BB" w:rsidRDefault="00220DA1" w:rsidP="00E51BAD">
      <w:r w:rsidRPr="00D647BB">
        <w:t>Doran et al. (2019)</w:t>
      </w:r>
      <w:r w:rsidR="00D05DEC" w:rsidRPr="00D647BB">
        <w:t xml:space="preserve"> </w:t>
      </w:r>
      <w:r w:rsidR="00905308" w:rsidRPr="00D647BB">
        <w:t>found</w:t>
      </w:r>
      <w:r w:rsidRPr="00D647BB">
        <w:t xml:space="preserve"> that </w:t>
      </w:r>
      <w:r w:rsidR="00D35425" w:rsidRPr="00D647BB">
        <w:t>gender socialisation significantly contributed to attitudes supporting gender inequality</w:t>
      </w:r>
      <w:r w:rsidRPr="00D647BB">
        <w:t>.</w:t>
      </w:r>
      <w:r w:rsidR="00F94093" w:rsidRPr="00D647BB">
        <w:t xml:space="preserve"> </w:t>
      </w:r>
      <w:r w:rsidRPr="00D647BB">
        <w:t xml:space="preserve">Participants </w:t>
      </w:r>
      <w:r w:rsidR="00A405FC" w:rsidRPr="00D647BB">
        <w:t xml:space="preserve">in their study </w:t>
      </w:r>
      <w:r w:rsidRPr="00D647BB">
        <w:t xml:space="preserve">felt that community standards of treating women like a commodity were weaved throughout </w:t>
      </w:r>
      <w:r w:rsidR="008635F7">
        <w:t>W</w:t>
      </w:r>
      <w:r w:rsidRPr="00D647BB">
        <w:t xml:space="preserve">estern culture and that </w:t>
      </w:r>
      <w:r w:rsidR="00CB0D8B" w:rsidRPr="00D647BB">
        <w:t>IPV</w:t>
      </w:r>
      <w:r w:rsidRPr="00D647BB">
        <w:t xml:space="preserve"> resulted from how males and females are brought up in Australia. Troung et al. (2022) also found that gender roles and norms underpin the understanding of </w:t>
      </w:r>
      <w:r w:rsidR="009A3632" w:rsidRPr="00D647BB">
        <w:t>IPV</w:t>
      </w:r>
      <w:r w:rsidRPr="00D647BB">
        <w:t xml:space="preserve"> and impact the responses to </w:t>
      </w:r>
      <w:r w:rsidR="00CF6BCE" w:rsidRPr="00D647BB">
        <w:t>IPV</w:t>
      </w:r>
      <w:r w:rsidRPr="00D647BB">
        <w:t xml:space="preserve"> within faith-based communities. </w:t>
      </w:r>
      <w:r w:rsidR="00960C0D" w:rsidRPr="00D647BB">
        <w:t>P</w:t>
      </w:r>
      <w:r w:rsidRPr="00D647BB">
        <w:t xml:space="preserve">articipants </w:t>
      </w:r>
      <w:r w:rsidR="00960C0D" w:rsidRPr="00D647BB">
        <w:t xml:space="preserve">in their study </w:t>
      </w:r>
      <w:r w:rsidRPr="00D647BB">
        <w:t>expressed how, within faith-based communities, men are often upheld as leaders and inherently hold authority</w:t>
      </w:r>
      <w:r w:rsidR="002D2469" w:rsidRPr="00D647BB">
        <w:t xml:space="preserve"> while</w:t>
      </w:r>
      <w:r w:rsidRPr="00D647BB">
        <w:t xml:space="preserve"> women are seen as submissive to men. </w:t>
      </w:r>
    </w:p>
    <w:p w14:paraId="121CD85E" w14:textId="49790E67" w:rsidR="00220DA1" w:rsidRPr="0045789C" w:rsidRDefault="009F7EB2" w:rsidP="00E51BAD">
      <w:r w:rsidRPr="00D647BB">
        <w:t xml:space="preserve">Blagg et al. (2022) </w:t>
      </w:r>
      <w:r w:rsidR="00561DE4" w:rsidRPr="00D647BB">
        <w:t>reveal</w:t>
      </w:r>
      <w:r w:rsidR="001E7407" w:rsidRPr="00D647BB">
        <w:t>ed</w:t>
      </w:r>
      <w:r w:rsidRPr="00D647BB">
        <w:t xml:space="preserve"> that i</w:t>
      </w:r>
      <w:r w:rsidR="00220DA1" w:rsidRPr="00D647BB">
        <w:t xml:space="preserve">ntergenerational trauma </w:t>
      </w:r>
      <w:r w:rsidR="000F1C7F" w:rsidRPr="00D647BB">
        <w:t xml:space="preserve">is also a systemic issue which </w:t>
      </w:r>
      <w:r w:rsidR="00220DA1" w:rsidRPr="00D647BB">
        <w:t>generates violence within Aboriginal families, yet Aboriginal Elders feel that the current IPV policy downplays inherited trauma, '</w:t>
      </w:r>
      <w:proofErr w:type="spellStart"/>
      <w:r w:rsidR="00220DA1" w:rsidRPr="00D647BB">
        <w:t>je</w:t>
      </w:r>
      <w:r w:rsidR="008635F7">
        <w:t>a</w:t>
      </w:r>
      <w:r w:rsidR="00220DA1" w:rsidRPr="00D647BB">
        <w:t>lousing</w:t>
      </w:r>
      <w:proofErr w:type="spellEnd"/>
      <w:r w:rsidR="00220DA1" w:rsidRPr="00D647BB">
        <w:t>', and addictions, reducing IPV to people's behaviours. Aboriginal Elders</w:t>
      </w:r>
      <w:r w:rsidR="00C6679B" w:rsidRPr="00D647BB">
        <w:t xml:space="preserve"> who</w:t>
      </w:r>
      <w:r w:rsidR="00220DA1" w:rsidRPr="00D647BB">
        <w:t xml:space="preserve"> </w:t>
      </w:r>
      <w:r w:rsidR="001E7407" w:rsidRPr="00D647BB">
        <w:t xml:space="preserve">participated in their study </w:t>
      </w:r>
      <w:r w:rsidR="00220DA1" w:rsidRPr="00D647BB">
        <w:t xml:space="preserve">stated that due to the disempowerment of Aboriginal men through colonisation, their </w:t>
      </w:r>
      <w:r w:rsidR="00220DA1" w:rsidRPr="0045789C">
        <w:t xml:space="preserve">roles as warriors and hunters have been undermined, which has left Aboriginal men feeling powerless to change their situations and humiliated by being stereotyped as abusers and criminals. Aboriginal Elders believe this leads Aboriginal men to the insecurity that drives attempts to control and intimidate their partners. Crisis accommodation providers from Meyer and </w:t>
      </w:r>
      <w:proofErr w:type="spellStart"/>
      <w:r w:rsidR="00220DA1" w:rsidRPr="0045789C">
        <w:t>Stambe’s</w:t>
      </w:r>
      <w:proofErr w:type="spellEnd"/>
      <w:r w:rsidR="00220DA1" w:rsidRPr="0045789C">
        <w:t xml:space="preserve"> (2021) study stated that IPV leaves Aboriginal women spiritually beaten and emotionally exhausted. They also stated that Aboriginal women believe they deserve the abuse they have suffered due to their upbringing, experiences of intergenerational violence and lack of employability (Meyer &amp; </w:t>
      </w:r>
      <w:proofErr w:type="spellStart"/>
      <w:r w:rsidR="00220DA1" w:rsidRPr="0045789C">
        <w:t>Stambe</w:t>
      </w:r>
      <w:proofErr w:type="spellEnd"/>
      <w:r w:rsidR="00220DA1" w:rsidRPr="0045789C">
        <w:t xml:space="preserve">, 2021). While Blagg et al. (2022) and Meyer and </w:t>
      </w:r>
      <w:proofErr w:type="spellStart"/>
      <w:r w:rsidR="00220DA1" w:rsidRPr="0045789C">
        <w:t>Stambe</w:t>
      </w:r>
      <w:proofErr w:type="spellEnd"/>
      <w:r w:rsidR="00220DA1" w:rsidRPr="0045789C">
        <w:t xml:space="preserve"> (2021) captured how intergenerational trauma drives IPV, Spangaro et al. (2019) captured how intergenerational trauma stops Aboriginal women from disclosing IPV. Aboriginal </w:t>
      </w:r>
      <w:r w:rsidR="003C3995" w:rsidRPr="0045789C">
        <w:t xml:space="preserve">women </w:t>
      </w:r>
      <w:r w:rsidR="00220DA1" w:rsidRPr="0045789C">
        <w:t>participants in Spangaro et al.</w:t>
      </w:r>
      <w:r w:rsidR="00997797" w:rsidRPr="0045789C">
        <w:t>’s</w:t>
      </w:r>
      <w:r w:rsidR="00220DA1" w:rsidRPr="0045789C">
        <w:t xml:space="preserve"> (2019)</w:t>
      </w:r>
      <w:r w:rsidR="00997797" w:rsidRPr="0045789C">
        <w:t xml:space="preserve"> study</w:t>
      </w:r>
      <w:r w:rsidR="00220DA1" w:rsidRPr="0045789C">
        <w:t xml:space="preserve"> stated that due to the </w:t>
      </w:r>
      <w:r w:rsidR="003C3995" w:rsidRPr="0045789C">
        <w:t>‘</w:t>
      </w:r>
      <w:r w:rsidR="00220DA1" w:rsidRPr="0045789C">
        <w:t>Stolen Generation</w:t>
      </w:r>
      <w:r w:rsidR="003C3995" w:rsidRPr="0045789C">
        <w:t>’</w:t>
      </w:r>
      <w:r w:rsidR="00220DA1" w:rsidRPr="0045789C">
        <w:t xml:space="preserve">, they have no trust in non-Aboriginal services when children are involved. </w:t>
      </w:r>
    </w:p>
    <w:p w14:paraId="32BAD3BD" w14:textId="73B59DA4" w:rsidR="00C93146" w:rsidRPr="0045789C" w:rsidRDefault="00220DA1" w:rsidP="004E1215">
      <w:r w:rsidRPr="0045789C">
        <w:t xml:space="preserve">Aboriginal Elders </w:t>
      </w:r>
      <w:r w:rsidR="00EC0BEF" w:rsidRPr="0045789C">
        <w:t xml:space="preserve">in Blagg et al. (2022) </w:t>
      </w:r>
      <w:r w:rsidRPr="0045789C">
        <w:t>expressed that the effects of racism produce insecurity, inadequacy, and low self-esteem and is a trauma trigger that plays out in family life. Spangaro et al</w:t>
      </w:r>
      <w:r w:rsidR="001E1D90" w:rsidRPr="0045789C">
        <w:t>.</w:t>
      </w:r>
      <w:r w:rsidRPr="0045789C">
        <w:t xml:space="preserve"> (2019) felt that lived experiences of institutional racism, over-policing and knowing the impacts on communities may contribute to protective responses of Aboriginal women towards their abusive partners and get them to downplay their experiences of IPV. A participant's statement captured this: "The police got called and they all c</w:t>
      </w:r>
      <w:r w:rsidR="005325F9" w:rsidRPr="0045789C">
        <w:t>a</w:t>
      </w:r>
      <w:r w:rsidRPr="0045789C">
        <w:t xml:space="preserve">me and got him. There </w:t>
      </w:r>
      <w:r w:rsidR="00A45018" w:rsidRPr="0045789C">
        <w:t>were</w:t>
      </w:r>
      <w:r w:rsidRPr="0045789C">
        <w:t xml:space="preserve"> ten </w:t>
      </w:r>
      <w:r w:rsidR="00153D5E" w:rsidRPr="0045789C">
        <w:t>carloads</w:t>
      </w:r>
      <w:r w:rsidRPr="0045789C">
        <w:t>" (Jazz</w:t>
      </w:r>
      <w:r w:rsidR="00153D5E" w:rsidRPr="0045789C">
        <w:t xml:space="preserve"> in </w:t>
      </w:r>
      <w:r w:rsidRPr="0045789C">
        <w:t>Spangaro et al., 2019, p. 800). Although, when Aboriginal women did decide to leave their abusive partners, they faced the problem of racial discrimination within the private rental market</w:t>
      </w:r>
      <w:r w:rsidR="00403545" w:rsidRPr="0045789C">
        <w:t xml:space="preserve"> (Meyer </w:t>
      </w:r>
      <w:r w:rsidR="008F7CA1" w:rsidRPr="0045789C">
        <w:t>&amp;</w:t>
      </w:r>
      <w:r w:rsidR="00403545" w:rsidRPr="0045789C">
        <w:t xml:space="preserve"> </w:t>
      </w:r>
      <w:proofErr w:type="spellStart"/>
      <w:r w:rsidR="00403545" w:rsidRPr="0045789C">
        <w:t>Stambe</w:t>
      </w:r>
      <w:proofErr w:type="spellEnd"/>
      <w:r w:rsidR="008F7CA1" w:rsidRPr="0045789C">
        <w:t xml:space="preserve">, </w:t>
      </w:r>
      <w:r w:rsidR="00403545" w:rsidRPr="0045789C">
        <w:t>2021)</w:t>
      </w:r>
      <w:r w:rsidR="008F7CA1" w:rsidRPr="0045789C">
        <w:t xml:space="preserve">. </w:t>
      </w:r>
    </w:p>
    <w:p w14:paraId="5EC79BC3" w14:textId="3292D751" w:rsidR="00220DA1" w:rsidRPr="0045789C" w:rsidRDefault="00A00A0B" w:rsidP="00D647BB">
      <w:pPr>
        <w:pStyle w:val="Heading3"/>
      </w:pPr>
      <w:r>
        <w:t xml:space="preserve">Issues with </w:t>
      </w:r>
      <w:r w:rsidR="00D71EAD" w:rsidRPr="0045789C">
        <w:t xml:space="preserve">Protection Orders </w:t>
      </w:r>
      <w:r w:rsidR="00C73CDA" w:rsidRPr="0045789C">
        <w:t>(PO</w:t>
      </w:r>
      <w:r w:rsidR="00AC4474" w:rsidRPr="0045789C">
        <w:t>s</w:t>
      </w:r>
      <w:r w:rsidR="00C73CDA" w:rsidRPr="0045789C">
        <w:t>)</w:t>
      </w:r>
    </w:p>
    <w:p w14:paraId="262BF769" w14:textId="3FAE7776" w:rsidR="00220DA1" w:rsidRPr="00D647BB" w:rsidRDefault="00220DA1" w:rsidP="00E51BAD">
      <w:r w:rsidRPr="0045789C">
        <w:t>Taylor et al.’s (2017) study was extensive and focused on the effectiveness of POs, which showed that while participants who experience</w:t>
      </w:r>
      <w:r w:rsidR="00AC4474" w:rsidRPr="0045789C">
        <w:t>d</w:t>
      </w:r>
      <w:r w:rsidRPr="0045789C">
        <w:t xml:space="preserve"> IPV understand that POs give police more powers to respond to perpetrators, they do not create safety. These participants' narratives involved the stress of obtaining a PO, attending court, dealing with police and legal issues, and waiting for </w:t>
      </w:r>
      <w:r w:rsidRPr="00D647BB">
        <w:t>perpetrators to be found and served, all while they remained unsafe and unprotected (Taylor et al., 2017). Ultimately, participants who experienced IPV felt that when abuse is involved, a piece of paper would never make anyone feel safe and that enforcement processes were inadequate overall as POs did not stop men from breaching</w:t>
      </w:r>
      <w:r w:rsidR="00726013" w:rsidRPr="00D647BB">
        <w:t xml:space="preserve"> (Taylor et al., 2017)</w:t>
      </w:r>
      <w:r w:rsidRPr="00D647BB">
        <w:t xml:space="preserve">. Turner and Walsh’s (2020) study also found the enforcement of POs to be a safety issue for women, with </w:t>
      </w:r>
      <w:r w:rsidR="00F50FD4" w:rsidRPr="00D647BB">
        <w:t>IPV</w:t>
      </w:r>
      <w:r w:rsidRPr="00D647BB">
        <w:t xml:space="preserve"> professionals expressing that minimising or dismissing breaches is an example of not taking violence seriously, which has repercussions for women’s safety. Such repercussions were captured by </w:t>
      </w:r>
      <w:r w:rsidR="00637EB0" w:rsidRPr="00D647BB">
        <w:t>Belinda</w:t>
      </w:r>
      <w:r w:rsidRPr="00D647BB">
        <w:t xml:space="preserve"> in Taylor et al.’s (2017</w:t>
      </w:r>
      <w:r w:rsidR="00143EB7" w:rsidRPr="00D647BB">
        <w:t>, p.</w:t>
      </w:r>
      <w:r w:rsidR="000A1709" w:rsidRPr="00D647BB">
        <w:t xml:space="preserve"> 39)</w:t>
      </w:r>
      <w:r w:rsidRPr="00D647BB">
        <w:t>) study: "So</w:t>
      </w:r>
      <w:r w:rsidR="000A1709" w:rsidRPr="00D647BB">
        <w:t>,</w:t>
      </w:r>
      <w:r w:rsidRPr="00D647BB">
        <w:t xml:space="preserve"> the only way that he [ex-partner] will be charged is if I walked in with multiple stab wounds or I've been killed, is that where we're at?" And they </w:t>
      </w:r>
      <w:r w:rsidR="00143EB7" w:rsidRPr="00D647BB">
        <w:t xml:space="preserve">[police] </w:t>
      </w:r>
      <w:r w:rsidRPr="00D647BB">
        <w:t>said, "Pretty much". I said, "Well, that's great, that's fantastic [sarcastic tone]"</w:t>
      </w:r>
      <w:r w:rsidR="003A17D7" w:rsidRPr="00D647BB">
        <w:t>.</w:t>
      </w:r>
    </w:p>
    <w:p w14:paraId="45E45F66" w14:textId="507FAA8F" w:rsidR="00395DC2" w:rsidRPr="004F0F01" w:rsidRDefault="0096063C" w:rsidP="004E1215">
      <w:r w:rsidRPr="00D647BB">
        <w:t xml:space="preserve">The study by Turner </w:t>
      </w:r>
      <w:r w:rsidR="00BB1D8A" w:rsidRPr="00D647BB">
        <w:t xml:space="preserve">and Walsh (2020) that examined </w:t>
      </w:r>
      <w:r w:rsidR="006A5950" w:rsidRPr="00D647BB">
        <w:t>the intersectio</w:t>
      </w:r>
      <w:r w:rsidR="00D87AC1" w:rsidRPr="00D647BB">
        <w:t xml:space="preserve">n between IPV professionals and external agencies using in-depth semi structured interviews, demonstrated </w:t>
      </w:r>
      <w:r w:rsidR="00717557" w:rsidRPr="00D647BB">
        <w:t xml:space="preserve">that the IPV professionals were sick of </w:t>
      </w:r>
      <w:r w:rsidR="009975AD" w:rsidRPr="00D647BB">
        <w:t>the o</w:t>
      </w:r>
      <w:r w:rsidR="000D3A15" w:rsidRPr="00D647BB">
        <w:t xml:space="preserve">utcomes of legal processes that favour men </w:t>
      </w:r>
      <w:r w:rsidR="00936001" w:rsidRPr="00D647BB">
        <w:t xml:space="preserve">using violence and expressed that this does not provide any real protection for women </w:t>
      </w:r>
      <w:r w:rsidR="0052018F" w:rsidRPr="00D647BB">
        <w:t xml:space="preserve">nor deterrence for perpetrators. </w:t>
      </w:r>
      <w:proofErr w:type="gramStart"/>
      <w:r w:rsidR="0052018F" w:rsidRPr="00D647BB">
        <w:t>In particular, one</w:t>
      </w:r>
      <w:proofErr w:type="gramEnd"/>
      <w:r w:rsidR="0052018F" w:rsidRPr="00D647BB">
        <w:t xml:space="preserve"> participant recalled </w:t>
      </w:r>
      <w:r w:rsidR="00D620F1" w:rsidRPr="00D647BB">
        <w:t xml:space="preserve">when a prosecutor negotiated perpetrator charges without </w:t>
      </w:r>
      <w:r w:rsidR="006D3720" w:rsidRPr="00D647BB">
        <w:t xml:space="preserve">consulting the woman experiencing IPV, and the perpetrator’s charges were all grouped as one, resulting </w:t>
      </w:r>
      <w:r w:rsidR="00013F49" w:rsidRPr="00D647BB">
        <w:t>in only a warning</w:t>
      </w:r>
      <w:r w:rsidR="006A5950" w:rsidRPr="00D647BB">
        <w:t xml:space="preserve"> </w:t>
      </w:r>
      <w:r w:rsidR="00220DA1" w:rsidRPr="00D647BB">
        <w:t xml:space="preserve">(Turner &amp; Walsh, 2020). More than half of victim advocates and almost half of police in Taylor et al.’s (2017) study backed up this </w:t>
      </w:r>
      <w:r w:rsidR="00220DA1" w:rsidRPr="0045789C">
        <w:t xml:space="preserve">claim and considered penalties rarely or never reflected the severity of breaches, with around one-third of police, lawyers, and victim advocates believing that breach penalties rarely or never kept women safe.  </w:t>
      </w:r>
    </w:p>
    <w:p w14:paraId="331CA3D9" w14:textId="1764A825" w:rsidR="00574330" w:rsidRPr="00D647BB" w:rsidRDefault="00174BC8" w:rsidP="005679DA">
      <w:pPr>
        <w:pStyle w:val="Heading2"/>
      </w:pPr>
      <w:r w:rsidRPr="00E51BAD">
        <w:t>Discussion</w:t>
      </w:r>
      <w:bookmarkStart w:id="3" w:name="_Hlk117778023"/>
    </w:p>
    <w:p w14:paraId="5219A28B" w14:textId="4C13096D" w:rsidR="00B12D6F" w:rsidRDefault="00E4786F" w:rsidP="00E51BAD">
      <w:r w:rsidRPr="0044038E">
        <w:t xml:space="preserve">Findings provide evidence of </w:t>
      </w:r>
      <w:r w:rsidR="000A03E6" w:rsidRPr="0044038E">
        <w:t xml:space="preserve">the </w:t>
      </w:r>
      <w:r w:rsidRPr="0044038E">
        <w:t>l</w:t>
      </w:r>
      <w:r w:rsidR="005E5BBE" w:rsidRPr="0044038E">
        <w:t xml:space="preserve">ack of </w:t>
      </w:r>
      <w:r w:rsidR="000A03E6" w:rsidRPr="0044038E">
        <w:t xml:space="preserve">a coherent </w:t>
      </w:r>
      <w:r w:rsidR="005E5BBE" w:rsidRPr="0044038E">
        <w:t xml:space="preserve">IPV </w:t>
      </w:r>
      <w:r w:rsidR="00372B5B" w:rsidRPr="0044038E">
        <w:t>e</w:t>
      </w:r>
      <w:r w:rsidR="005E5BBE" w:rsidRPr="0044038E">
        <w:t xml:space="preserve">ducation and </w:t>
      </w:r>
      <w:r w:rsidR="00372B5B" w:rsidRPr="0044038E">
        <w:t>t</w:t>
      </w:r>
      <w:r w:rsidR="005E5BBE" w:rsidRPr="0044038E">
        <w:t>raining</w:t>
      </w:r>
      <w:r w:rsidR="00D32891" w:rsidRPr="0044038E">
        <w:t xml:space="preserve"> </w:t>
      </w:r>
      <w:r w:rsidR="00D70F47" w:rsidRPr="0044038E">
        <w:t xml:space="preserve">as it </w:t>
      </w:r>
      <w:r w:rsidR="008A3494" w:rsidRPr="0044038E">
        <w:t>is</w:t>
      </w:r>
      <w:r w:rsidR="00D32891" w:rsidRPr="0044038E">
        <w:t xml:space="preserve"> a theme</w:t>
      </w:r>
      <w:r w:rsidR="005E5BBE" w:rsidRPr="0044038E">
        <w:t xml:space="preserve"> present within seven of the ten studies</w:t>
      </w:r>
      <w:r w:rsidR="006440CF" w:rsidRPr="0044038E">
        <w:t xml:space="preserve"> reviewed</w:t>
      </w:r>
      <w:bookmarkEnd w:id="3"/>
      <w:r w:rsidR="00E55F57">
        <w:t xml:space="preserve"> and it is applicable to both IPV professionals and community members</w:t>
      </w:r>
      <w:r w:rsidR="00524E6F" w:rsidRPr="0044038E">
        <w:t xml:space="preserve">. </w:t>
      </w:r>
      <w:r w:rsidR="00B12D6F" w:rsidRPr="0044038E">
        <w:t xml:space="preserve">It means that professionals who are </w:t>
      </w:r>
      <w:r w:rsidR="00E5492E" w:rsidRPr="0044038E">
        <w:t xml:space="preserve">entrusted with the responsibility </w:t>
      </w:r>
      <w:r w:rsidR="003A07B7" w:rsidRPr="0044038E">
        <w:t>to</w:t>
      </w:r>
      <w:r w:rsidR="00E5492E" w:rsidRPr="0044038E">
        <w:t xml:space="preserve"> work for the </w:t>
      </w:r>
      <w:r w:rsidR="00AD5039" w:rsidRPr="0044038E">
        <w:t xml:space="preserve">safety and </w:t>
      </w:r>
      <w:r w:rsidR="00E5492E" w:rsidRPr="0044038E">
        <w:t xml:space="preserve">wellbeing of </w:t>
      </w:r>
      <w:r w:rsidR="00AD5039" w:rsidRPr="0044038E">
        <w:t xml:space="preserve">women </w:t>
      </w:r>
      <w:r w:rsidR="002F412A" w:rsidRPr="0044038E">
        <w:t xml:space="preserve">are </w:t>
      </w:r>
      <w:r w:rsidR="00886F30" w:rsidRPr="0044038E">
        <w:t xml:space="preserve">not adequately equipped with the necessary knowledge and skills. Likewise, community members </w:t>
      </w:r>
      <w:r w:rsidR="00D232E0" w:rsidRPr="0044038E">
        <w:t xml:space="preserve">may lack the </w:t>
      </w:r>
      <w:r w:rsidR="00E03895" w:rsidRPr="0044038E">
        <w:t xml:space="preserve">knowledge and skill in protecting </w:t>
      </w:r>
      <w:r w:rsidR="001065B5">
        <w:t>women</w:t>
      </w:r>
      <w:r w:rsidR="00E03895" w:rsidRPr="0044038E">
        <w:t xml:space="preserve"> and in responding to IPV</w:t>
      </w:r>
      <w:r w:rsidR="000A38DB" w:rsidRPr="0044038E">
        <w:t xml:space="preserve"> </w:t>
      </w:r>
      <w:r w:rsidR="005B2400">
        <w:t xml:space="preserve">diligently and </w:t>
      </w:r>
      <w:r w:rsidR="000A38DB" w:rsidRPr="0044038E">
        <w:t>constructively</w:t>
      </w:r>
      <w:r w:rsidR="00E03895" w:rsidRPr="0044038E">
        <w:t>.</w:t>
      </w:r>
      <w:r w:rsidR="001D787D" w:rsidRPr="0044038E">
        <w:t xml:space="preserve"> </w:t>
      </w:r>
      <w:r w:rsidR="007939B5" w:rsidRPr="0044038E">
        <w:t xml:space="preserve">Given the </w:t>
      </w:r>
      <w:r w:rsidR="00BE2BC8" w:rsidRPr="0044038E">
        <w:t xml:space="preserve">disproportionate abuse and </w:t>
      </w:r>
      <w:r w:rsidR="00701CD5" w:rsidRPr="0044038E">
        <w:t xml:space="preserve">harm experienced by women, </w:t>
      </w:r>
      <w:r w:rsidR="00107743">
        <w:t xml:space="preserve">a </w:t>
      </w:r>
      <w:r w:rsidR="00701CD5" w:rsidRPr="0044038E">
        <w:t xml:space="preserve">lack of education and training on IPV </w:t>
      </w:r>
      <w:r w:rsidR="007527B2" w:rsidRPr="0044038E">
        <w:t xml:space="preserve">in a way </w:t>
      </w:r>
      <w:r w:rsidR="00600D7C" w:rsidRPr="0044038E">
        <w:t xml:space="preserve">maintains </w:t>
      </w:r>
      <w:r w:rsidR="00424D0F">
        <w:t xml:space="preserve">and promotes </w:t>
      </w:r>
      <w:r w:rsidR="00600D7C" w:rsidRPr="0044038E">
        <w:t xml:space="preserve">men’s advantageous and </w:t>
      </w:r>
      <w:r w:rsidR="00297B13" w:rsidRPr="0044038E">
        <w:t>dominant position in society</w:t>
      </w:r>
      <w:r w:rsidR="00EE0F0B" w:rsidRPr="0044038E">
        <w:t xml:space="preserve"> while </w:t>
      </w:r>
      <w:r w:rsidR="00232541">
        <w:t>women</w:t>
      </w:r>
      <w:r w:rsidR="00320E68">
        <w:t xml:space="preserve"> </w:t>
      </w:r>
      <w:r w:rsidR="004D27F9">
        <w:t xml:space="preserve">continue to </w:t>
      </w:r>
      <w:r w:rsidR="00320E68">
        <w:t>remain</w:t>
      </w:r>
      <w:r w:rsidR="00EE0F0B" w:rsidRPr="0044038E">
        <w:t xml:space="preserve"> vulnerab</w:t>
      </w:r>
      <w:r w:rsidR="00320E68">
        <w:t>le to violence and abuse</w:t>
      </w:r>
      <w:r w:rsidR="003520E7" w:rsidRPr="0044038E">
        <w:t xml:space="preserve">. </w:t>
      </w:r>
    </w:p>
    <w:p w14:paraId="6C3AF011" w14:textId="61372AE1" w:rsidR="000F3F07" w:rsidRDefault="00D44672" w:rsidP="00E51BAD">
      <w:r>
        <w:t>Although no link between the lack of education and training on IPV</w:t>
      </w:r>
      <w:r w:rsidR="009B7921">
        <w:t xml:space="preserve"> and lapses in </w:t>
      </w:r>
      <w:r w:rsidR="00753E7B">
        <w:t xml:space="preserve">IPV services has been found, </w:t>
      </w:r>
      <w:r w:rsidR="00931EB9">
        <w:t>various</w:t>
      </w:r>
      <w:r w:rsidR="00B81074">
        <w:t xml:space="preserve"> issues</w:t>
      </w:r>
      <w:r w:rsidR="0034462D">
        <w:t xml:space="preserve"> </w:t>
      </w:r>
      <w:r w:rsidR="00B81074">
        <w:t xml:space="preserve">with services </w:t>
      </w:r>
      <w:r w:rsidR="0034462D">
        <w:t xml:space="preserve">evidenced in the findings </w:t>
      </w:r>
      <w:r w:rsidR="00E962E2">
        <w:t xml:space="preserve">do point towards the need for a coherent approach to education and training. </w:t>
      </w:r>
      <w:r w:rsidR="004A7230">
        <w:t xml:space="preserve">What stands out is </w:t>
      </w:r>
      <w:r w:rsidR="00DC094B">
        <w:t xml:space="preserve">a </w:t>
      </w:r>
      <w:r w:rsidR="005E5BBE" w:rsidRPr="00B0713A">
        <w:t xml:space="preserve">lack of cohesion </w:t>
      </w:r>
      <w:r w:rsidR="00185B12" w:rsidRPr="00B0713A">
        <w:t xml:space="preserve">of services </w:t>
      </w:r>
      <w:r w:rsidR="005E5BBE" w:rsidRPr="00B0713A">
        <w:t xml:space="preserve">between the </w:t>
      </w:r>
      <w:r w:rsidR="004B0BD7" w:rsidRPr="00B0713A">
        <w:t>IPV</w:t>
      </w:r>
      <w:r w:rsidR="005E5BBE" w:rsidRPr="00B0713A">
        <w:t xml:space="preserve"> sector and external agencies</w:t>
      </w:r>
      <w:r w:rsidR="00AD3C3F" w:rsidRPr="00B0713A">
        <w:t xml:space="preserve"> </w:t>
      </w:r>
      <w:r w:rsidR="00D45301">
        <w:t>as well as</w:t>
      </w:r>
      <w:r w:rsidR="00AD3C3F" w:rsidRPr="00B0713A">
        <w:t xml:space="preserve"> </w:t>
      </w:r>
      <w:r w:rsidR="0007653E">
        <w:t>adverse</w:t>
      </w:r>
      <w:r w:rsidR="00BA0EA9">
        <w:t xml:space="preserve"> </w:t>
      </w:r>
      <w:r w:rsidR="00AD3C3F" w:rsidRPr="00B0713A">
        <w:t>w</w:t>
      </w:r>
      <w:r w:rsidR="0015103D" w:rsidRPr="00B0713A">
        <w:t xml:space="preserve">orkplace </w:t>
      </w:r>
      <w:r w:rsidR="001F6729">
        <w:t xml:space="preserve">and organisational </w:t>
      </w:r>
      <w:r w:rsidR="0015103D" w:rsidRPr="00B0713A">
        <w:t>culture of central external agencies</w:t>
      </w:r>
      <w:r w:rsidR="000711FE">
        <w:t>;</w:t>
      </w:r>
      <w:r w:rsidR="005D5272">
        <w:t xml:space="preserve"> </w:t>
      </w:r>
      <w:r w:rsidR="00C502AA">
        <w:t>all</w:t>
      </w:r>
      <w:r w:rsidR="005D5272">
        <w:t xml:space="preserve"> of which </w:t>
      </w:r>
      <w:r w:rsidR="00176E0E">
        <w:t>create barriers for the safety of women.</w:t>
      </w:r>
      <w:r w:rsidR="0076353B">
        <w:t xml:space="preserve"> </w:t>
      </w:r>
      <w:r w:rsidR="004E17E1" w:rsidRPr="008E3FDC">
        <w:t>T</w:t>
      </w:r>
      <w:r w:rsidR="005E5BBE" w:rsidRPr="008E3FDC">
        <w:t xml:space="preserve">he rising demands with limited resources and funding of IPV services </w:t>
      </w:r>
      <w:r w:rsidR="00944E46" w:rsidRPr="008E3FDC">
        <w:t>adds further complexity to the issue</w:t>
      </w:r>
      <w:r w:rsidR="00D5409C">
        <w:t xml:space="preserve"> including </w:t>
      </w:r>
      <w:r w:rsidR="00D14A63">
        <w:t xml:space="preserve">culturally safe services. </w:t>
      </w:r>
      <w:r w:rsidR="002C1AA0">
        <w:t>Clear u</w:t>
      </w:r>
      <w:r w:rsidR="00627B6A">
        <w:t xml:space="preserve">nderstanding and </w:t>
      </w:r>
      <w:r w:rsidR="002C1AA0">
        <w:t xml:space="preserve">deeper </w:t>
      </w:r>
      <w:r w:rsidR="00627B6A">
        <w:t xml:space="preserve">awareness of IPV can work as a catalyst for </w:t>
      </w:r>
      <w:r w:rsidR="006C7166">
        <w:t xml:space="preserve">social </w:t>
      </w:r>
      <w:r w:rsidR="00627B6A">
        <w:t>change</w:t>
      </w:r>
      <w:r w:rsidR="002C1AA0">
        <w:t xml:space="preserve"> at all levels </w:t>
      </w:r>
      <w:r w:rsidR="006C7166">
        <w:t>of social life</w:t>
      </w:r>
      <w:r w:rsidR="0049025D">
        <w:t xml:space="preserve"> including personal, familial, professional and policy leve</w:t>
      </w:r>
      <w:r w:rsidR="00E22E74">
        <w:t>ls</w:t>
      </w:r>
      <w:r w:rsidR="00627B6A">
        <w:t>.</w:t>
      </w:r>
    </w:p>
    <w:p w14:paraId="6C617CBF" w14:textId="77777777" w:rsidR="00C405E3" w:rsidRDefault="006F7CE9" w:rsidP="00E51BAD">
      <w:bookmarkStart w:id="4" w:name="_Hlk117778966"/>
      <w:r w:rsidRPr="00EE09EC">
        <w:t xml:space="preserve">The study findings confirmed </w:t>
      </w:r>
      <w:r w:rsidR="00CB7775" w:rsidRPr="00EE09EC">
        <w:t>that s</w:t>
      </w:r>
      <w:r w:rsidR="00686A9E" w:rsidRPr="00EE09EC">
        <w:t>ystemic issues</w:t>
      </w:r>
      <w:r w:rsidR="001A13D5" w:rsidRPr="00EE09EC">
        <w:t xml:space="preserve"> </w:t>
      </w:r>
      <w:r w:rsidR="00CB7775" w:rsidRPr="00EE09EC">
        <w:t>contribute to IPV</w:t>
      </w:r>
      <w:r w:rsidR="00686A9E" w:rsidRPr="00EE09EC">
        <w:t xml:space="preserve">. </w:t>
      </w:r>
      <w:bookmarkEnd w:id="4"/>
      <w:r w:rsidR="005E5BBE" w:rsidRPr="00306219">
        <w:t>Gender socialis</w:t>
      </w:r>
      <w:r w:rsidR="00280DC1" w:rsidRPr="00306219">
        <w:t xml:space="preserve">ation </w:t>
      </w:r>
      <w:r w:rsidR="0067658B" w:rsidRPr="00306219">
        <w:t xml:space="preserve">involving </w:t>
      </w:r>
      <w:r w:rsidR="005E5BBE" w:rsidRPr="00306219">
        <w:t xml:space="preserve">community standards of treating women like a commodity </w:t>
      </w:r>
      <w:r w:rsidR="00372218" w:rsidRPr="00306219">
        <w:t xml:space="preserve">and </w:t>
      </w:r>
      <w:r w:rsidR="00387093" w:rsidRPr="00306219">
        <w:t>the upbringing of</w:t>
      </w:r>
      <w:r w:rsidR="005E5BBE" w:rsidRPr="00306219">
        <w:t xml:space="preserve"> females and males </w:t>
      </w:r>
      <w:r w:rsidR="00CB50B0" w:rsidRPr="00306219">
        <w:t xml:space="preserve">in that context </w:t>
      </w:r>
      <w:r w:rsidR="00372218" w:rsidRPr="00306219">
        <w:t xml:space="preserve">have implications for </w:t>
      </w:r>
      <w:r w:rsidR="00887E97" w:rsidRPr="00306219">
        <w:t>IPV understanding and responses</w:t>
      </w:r>
      <w:r w:rsidR="00497285" w:rsidRPr="00306219">
        <w:t xml:space="preserve"> such as</w:t>
      </w:r>
      <w:r w:rsidR="005E5BBE" w:rsidRPr="00306219">
        <w:t xml:space="preserve"> normalising IPV within relationships due to the understanding of stereotypical masculinity. </w:t>
      </w:r>
      <w:r w:rsidR="00BB1B81" w:rsidRPr="00306219">
        <w:t xml:space="preserve">Intergenerational trauma resulting from colonialism </w:t>
      </w:r>
      <w:r w:rsidR="00375F74" w:rsidRPr="00306219">
        <w:t xml:space="preserve">and racism are other significant systemic issues impacting on </w:t>
      </w:r>
      <w:r w:rsidR="006F19B0" w:rsidRPr="00306219">
        <w:t>women’s experience of IPV.</w:t>
      </w:r>
      <w:r w:rsidR="00306219">
        <w:t xml:space="preserve"> </w:t>
      </w:r>
    </w:p>
    <w:p w14:paraId="5604047B" w14:textId="4AD3F1D2" w:rsidR="002B5DB7" w:rsidRDefault="00BA50D0" w:rsidP="00E51BAD">
      <w:r w:rsidRPr="0024540A">
        <w:t xml:space="preserve">Analysis of findings demonstrate protection orders </w:t>
      </w:r>
      <w:r w:rsidR="00862009" w:rsidRPr="0024540A">
        <w:t>from lawcourts</w:t>
      </w:r>
      <w:r w:rsidR="001C58EF" w:rsidRPr="0024540A">
        <w:t xml:space="preserve"> </w:t>
      </w:r>
      <w:r w:rsidR="009711CB" w:rsidRPr="0024540A">
        <w:t xml:space="preserve">being ineffective </w:t>
      </w:r>
      <w:r w:rsidR="00232BDB" w:rsidRPr="0024540A">
        <w:t xml:space="preserve">despite it being the most relied-on criminal justice intervention within IPV. </w:t>
      </w:r>
      <w:r w:rsidR="00777B29" w:rsidRPr="0024540A">
        <w:t>Although protection orders</w:t>
      </w:r>
      <w:r w:rsidR="005E5BBE" w:rsidRPr="0024540A">
        <w:t xml:space="preserve"> give police more power to respond to men who use violence, they do not create safety </w:t>
      </w:r>
      <w:r w:rsidR="0007557E" w:rsidRPr="0024540A">
        <w:t xml:space="preserve">as </w:t>
      </w:r>
      <w:r w:rsidR="00D409F2" w:rsidRPr="0024540A">
        <w:t xml:space="preserve">obtaining </w:t>
      </w:r>
      <w:r w:rsidR="003C0519" w:rsidRPr="0024540A">
        <w:t xml:space="preserve">one is a lengthy and stressful process, enforcing </w:t>
      </w:r>
      <w:r w:rsidR="007C3EB4" w:rsidRPr="0024540A">
        <w:t>the order is often compromised,</w:t>
      </w:r>
      <w:r w:rsidR="006E5910" w:rsidRPr="0024540A">
        <w:t xml:space="preserve"> the order itself often</w:t>
      </w:r>
      <w:r w:rsidR="005E5BBE" w:rsidRPr="0024540A">
        <w:t xml:space="preserve"> do not stop men from breaching</w:t>
      </w:r>
      <w:r w:rsidR="0071018D" w:rsidRPr="0024540A">
        <w:t xml:space="preserve">, </w:t>
      </w:r>
      <w:r w:rsidR="005E5BBE" w:rsidRPr="0024540A">
        <w:t>breaches are minimised or dismissed</w:t>
      </w:r>
      <w:r w:rsidR="0024540A" w:rsidRPr="0024540A">
        <w:t>,</w:t>
      </w:r>
      <w:r w:rsidR="00343F7E" w:rsidRPr="0024540A">
        <w:t xml:space="preserve"> and </w:t>
      </w:r>
      <w:r w:rsidR="00B431C0" w:rsidRPr="0024540A">
        <w:t>penalties do not reflect the severity of the breaches</w:t>
      </w:r>
      <w:r w:rsidR="0071018D" w:rsidRPr="0024540A">
        <w:t xml:space="preserve">. </w:t>
      </w:r>
      <w:r w:rsidR="005E5BBE" w:rsidRPr="0024540A">
        <w:t xml:space="preserve"> </w:t>
      </w:r>
    </w:p>
    <w:p w14:paraId="2D917707" w14:textId="6F0714B6" w:rsidR="004B48EA" w:rsidRPr="0024540A" w:rsidRDefault="004B48EA" w:rsidP="004E1215">
      <w:r w:rsidRPr="009C161C">
        <w:rPr>
          <w:rFonts w:cs="Times New Roman"/>
        </w:rPr>
        <w:t>Together, the findings suggest how a range of social processes impact the safety of women experiencing IPV</w:t>
      </w:r>
      <w:r w:rsidR="00813CFC" w:rsidRPr="009C161C">
        <w:rPr>
          <w:rFonts w:cs="Times New Roman"/>
        </w:rPr>
        <w:t xml:space="preserve">, which </w:t>
      </w:r>
      <w:r w:rsidRPr="009C161C">
        <w:rPr>
          <w:rFonts w:cs="Times New Roman"/>
        </w:rPr>
        <w:t xml:space="preserve">necessitates a holistic approach to IPV if women’s safety is to be effectively addressed.  </w:t>
      </w:r>
      <w:r w:rsidR="00A1277A" w:rsidRPr="009C161C">
        <w:rPr>
          <w:rFonts w:cs="Times New Roman"/>
        </w:rPr>
        <w:t>Var</w:t>
      </w:r>
      <w:r w:rsidR="00B819D7" w:rsidRPr="009C161C">
        <w:rPr>
          <w:rFonts w:cs="Times New Roman"/>
        </w:rPr>
        <w:t>ious</w:t>
      </w:r>
      <w:r w:rsidRPr="009C161C">
        <w:rPr>
          <w:rFonts w:cs="Times New Roman"/>
        </w:rPr>
        <w:t xml:space="preserve"> layers that impact </w:t>
      </w:r>
      <w:r w:rsidR="00ED36FF" w:rsidRPr="009C161C">
        <w:rPr>
          <w:rFonts w:cs="Times New Roman"/>
        </w:rPr>
        <w:t xml:space="preserve">on </w:t>
      </w:r>
      <w:r w:rsidRPr="009C161C">
        <w:rPr>
          <w:rFonts w:cs="Times New Roman"/>
        </w:rPr>
        <w:t>women's safety</w:t>
      </w:r>
      <w:r w:rsidR="0019238B" w:rsidRPr="009C161C">
        <w:rPr>
          <w:rFonts w:cs="Times New Roman"/>
        </w:rPr>
        <w:t xml:space="preserve"> – </w:t>
      </w:r>
      <w:r w:rsidR="004B58CA" w:rsidRPr="009C161C">
        <w:rPr>
          <w:rFonts w:cs="Times New Roman"/>
        </w:rPr>
        <w:t xml:space="preserve">lack of </w:t>
      </w:r>
      <w:r w:rsidR="0019238B" w:rsidRPr="009C161C">
        <w:rPr>
          <w:rFonts w:cs="Times New Roman"/>
        </w:rPr>
        <w:t xml:space="preserve">IPV education and training, </w:t>
      </w:r>
      <w:r w:rsidR="004B58CA" w:rsidRPr="009C161C">
        <w:rPr>
          <w:rFonts w:cs="Times New Roman"/>
        </w:rPr>
        <w:t>service-related</w:t>
      </w:r>
      <w:r w:rsidR="005E6CB7" w:rsidRPr="009C161C">
        <w:rPr>
          <w:rFonts w:cs="Times New Roman"/>
        </w:rPr>
        <w:t xml:space="preserve"> issues, and systemic issues -</w:t>
      </w:r>
      <w:r w:rsidRPr="009C161C">
        <w:rPr>
          <w:rFonts w:cs="Times New Roman"/>
        </w:rPr>
        <w:t xml:space="preserve"> </w:t>
      </w:r>
      <w:r w:rsidR="001469C8" w:rsidRPr="009C161C">
        <w:rPr>
          <w:rFonts w:cs="Times New Roman"/>
        </w:rPr>
        <w:t xml:space="preserve">need to be understood and addressed. </w:t>
      </w:r>
      <w:r w:rsidR="0053243E" w:rsidRPr="009C161C">
        <w:rPr>
          <w:rFonts w:cs="Times New Roman"/>
        </w:rPr>
        <w:t>This</w:t>
      </w:r>
      <w:r w:rsidR="00AC588D" w:rsidRPr="009C161C">
        <w:rPr>
          <w:rFonts w:cs="Times New Roman"/>
        </w:rPr>
        <w:t xml:space="preserve"> would </w:t>
      </w:r>
      <w:r w:rsidR="00B825CA" w:rsidRPr="009C161C">
        <w:rPr>
          <w:rFonts w:cs="Times New Roman"/>
        </w:rPr>
        <w:t xml:space="preserve">involve </w:t>
      </w:r>
      <w:r w:rsidR="00FA42CA" w:rsidRPr="009C161C">
        <w:rPr>
          <w:rFonts w:cs="Times New Roman"/>
        </w:rPr>
        <w:t xml:space="preserve">coherent </w:t>
      </w:r>
      <w:r w:rsidR="00B517BA" w:rsidRPr="009C161C">
        <w:rPr>
          <w:rFonts w:cs="Times New Roman"/>
        </w:rPr>
        <w:t xml:space="preserve">efforts for integrating education and training </w:t>
      </w:r>
      <w:r w:rsidR="00EE3F60" w:rsidRPr="009C161C">
        <w:rPr>
          <w:rFonts w:cs="Times New Roman"/>
        </w:rPr>
        <w:t xml:space="preserve">for and with community members, </w:t>
      </w:r>
      <w:r w:rsidR="00523E14" w:rsidRPr="009C161C">
        <w:rPr>
          <w:rFonts w:cs="Times New Roman"/>
        </w:rPr>
        <w:t xml:space="preserve">service providers and </w:t>
      </w:r>
      <w:r w:rsidR="00B31B89" w:rsidRPr="009C161C">
        <w:rPr>
          <w:rFonts w:cs="Times New Roman"/>
        </w:rPr>
        <w:t>IPV professionals</w:t>
      </w:r>
      <w:r w:rsidR="00E4421F" w:rsidRPr="009C161C">
        <w:rPr>
          <w:rFonts w:cs="Times New Roman"/>
        </w:rPr>
        <w:t xml:space="preserve">. Education and training </w:t>
      </w:r>
      <w:r w:rsidR="00817AB9" w:rsidRPr="009C161C">
        <w:rPr>
          <w:rFonts w:cs="Times New Roman"/>
        </w:rPr>
        <w:t>are</w:t>
      </w:r>
      <w:r w:rsidR="00E4421F" w:rsidRPr="009C161C">
        <w:rPr>
          <w:rFonts w:cs="Times New Roman"/>
        </w:rPr>
        <w:t xml:space="preserve"> </w:t>
      </w:r>
      <w:r w:rsidR="00046AF5" w:rsidRPr="009C161C">
        <w:rPr>
          <w:rFonts w:cs="Times New Roman"/>
        </w:rPr>
        <w:t>instrumental for awareness creation</w:t>
      </w:r>
      <w:r w:rsidR="00CD76D4" w:rsidRPr="009C161C">
        <w:rPr>
          <w:rFonts w:cs="Times New Roman"/>
        </w:rPr>
        <w:t xml:space="preserve"> and</w:t>
      </w:r>
      <w:r w:rsidR="00301353" w:rsidRPr="009C161C">
        <w:rPr>
          <w:rFonts w:cs="Times New Roman"/>
        </w:rPr>
        <w:t xml:space="preserve"> knowledge </w:t>
      </w:r>
      <w:r w:rsidR="00CD76D4" w:rsidRPr="009C161C">
        <w:rPr>
          <w:rFonts w:cs="Times New Roman"/>
        </w:rPr>
        <w:t xml:space="preserve">and skills </w:t>
      </w:r>
      <w:r w:rsidR="00301353" w:rsidRPr="009C161C">
        <w:rPr>
          <w:rFonts w:cs="Times New Roman"/>
        </w:rPr>
        <w:t>development</w:t>
      </w:r>
      <w:r w:rsidR="00CD76D4" w:rsidRPr="009C161C">
        <w:rPr>
          <w:rFonts w:cs="Times New Roman"/>
        </w:rPr>
        <w:t xml:space="preserve">. </w:t>
      </w:r>
      <w:r w:rsidR="0070201C" w:rsidRPr="009C161C">
        <w:rPr>
          <w:rFonts w:cs="Times New Roman"/>
        </w:rPr>
        <w:t xml:space="preserve">While values of </w:t>
      </w:r>
      <w:r w:rsidR="00685FEE" w:rsidRPr="009C161C">
        <w:rPr>
          <w:rFonts w:cs="Times New Roman"/>
        </w:rPr>
        <w:t xml:space="preserve">non-violence and respectful co-living can be taught and promoted in schools </w:t>
      </w:r>
      <w:r w:rsidR="00FB0FEB" w:rsidRPr="009C161C">
        <w:rPr>
          <w:rFonts w:cs="Times New Roman"/>
        </w:rPr>
        <w:t>and colleges</w:t>
      </w:r>
      <w:r w:rsidR="0069300D" w:rsidRPr="009C161C">
        <w:rPr>
          <w:rFonts w:cs="Times New Roman"/>
        </w:rPr>
        <w:t>,</w:t>
      </w:r>
      <w:r w:rsidR="00FB0FEB" w:rsidRPr="009C161C">
        <w:rPr>
          <w:rFonts w:cs="Times New Roman"/>
        </w:rPr>
        <w:t xml:space="preserve"> </w:t>
      </w:r>
      <w:r w:rsidR="00453A5D" w:rsidRPr="009C161C">
        <w:rPr>
          <w:rFonts w:cs="Times New Roman"/>
        </w:rPr>
        <w:t xml:space="preserve">IPV </w:t>
      </w:r>
      <w:r w:rsidR="000244C4">
        <w:rPr>
          <w:rFonts w:cs="Times New Roman"/>
        </w:rPr>
        <w:t>ought to</w:t>
      </w:r>
      <w:r w:rsidR="00453A5D" w:rsidRPr="009C161C">
        <w:rPr>
          <w:rFonts w:cs="Times New Roman"/>
        </w:rPr>
        <w:t xml:space="preserve"> form a core part of the </w:t>
      </w:r>
      <w:r w:rsidR="00EE55F1" w:rsidRPr="009C161C">
        <w:rPr>
          <w:rFonts w:cs="Times New Roman"/>
        </w:rPr>
        <w:t xml:space="preserve">curriculum </w:t>
      </w:r>
      <w:r w:rsidR="00AE1002" w:rsidRPr="009C161C">
        <w:rPr>
          <w:rFonts w:cs="Times New Roman"/>
        </w:rPr>
        <w:t xml:space="preserve">of university degrees </w:t>
      </w:r>
      <w:r w:rsidR="00A5230F" w:rsidRPr="009C161C">
        <w:rPr>
          <w:rFonts w:cs="Times New Roman"/>
        </w:rPr>
        <w:t xml:space="preserve">for explicit teaching and learning. </w:t>
      </w:r>
      <w:r w:rsidR="00746353" w:rsidRPr="009C161C">
        <w:rPr>
          <w:rFonts w:cs="Times New Roman"/>
        </w:rPr>
        <w:t>This is particularly important for human service</w:t>
      </w:r>
      <w:r w:rsidR="00CA7582">
        <w:rPr>
          <w:rFonts w:cs="Times New Roman"/>
        </w:rPr>
        <w:t xml:space="preserve">, </w:t>
      </w:r>
      <w:r w:rsidR="00746353" w:rsidRPr="009C161C">
        <w:rPr>
          <w:rFonts w:cs="Times New Roman"/>
        </w:rPr>
        <w:t xml:space="preserve">medical </w:t>
      </w:r>
      <w:r w:rsidR="00CA7582">
        <w:rPr>
          <w:rFonts w:cs="Times New Roman"/>
        </w:rPr>
        <w:t xml:space="preserve">and legal </w:t>
      </w:r>
      <w:r w:rsidR="00746353" w:rsidRPr="009C161C">
        <w:rPr>
          <w:rFonts w:cs="Times New Roman"/>
        </w:rPr>
        <w:t>professional courses</w:t>
      </w:r>
      <w:r w:rsidR="002C6477">
        <w:rPr>
          <w:rFonts w:cs="Times New Roman"/>
        </w:rPr>
        <w:t xml:space="preserve"> because </w:t>
      </w:r>
      <w:r w:rsidR="00E84FD8">
        <w:rPr>
          <w:rFonts w:cs="Times New Roman"/>
        </w:rPr>
        <w:t>professional</w:t>
      </w:r>
      <w:r w:rsidR="00BF7B49">
        <w:rPr>
          <w:rFonts w:cs="Times New Roman"/>
        </w:rPr>
        <w:t>s</w:t>
      </w:r>
      <w:r w:rsidR="00E84FD8">
        <w:rPr>
          <w:rFonts w:cs="Times New Roman"/>
        </w:rPr>
        <w:t xml:space="preserve"> </w:t>
      </w:r>
      <w:r w:rsidR="002C6477">
        <w:rPr>
          <w:rFonts w:cs="Times New Roman"/>
        </w:rPr>
        <w:t xml:space="preserve">from these courses </w:t>
      </w:r>
      <w:r w:rsidR="00E84FD8">
        <w:rPr>
          <w:rFonts w:cs="Times New Roman"/>
        </w:rPr>
        <w:t xml:space="preserve">often come in direct </w:t>
      </w:r>
      <w:r w:rsidR="00BF7B49">
        <w:rPr>
          <w:rFonts w:cs="Times New Roman"/>
        </w:rPr>
        <w:t>contact with</w:t>
      </w:r>
      <w:r w:rsidR="00EB0951">
        <w:rPr>
          <w:rFonts w:cs="Times New Roman"/>
        </w:rPr>
        <w:t xml:space="preserve"> people experiencing</w:t>
      </w:r>
      <w:r w:rsidR="00BF7B49">
        <w:rPr>
          <w:rFonts w:cs="Times New Roman"/>
        </w:rPr>
        <w:t xml:space="preserve"> IPV</w:t>
      </w:r>
      <w:r w:rsidR="00204336">
        <w:rPr>
          <w:rFonts w:cs="Times New Roman"/>
        </w:rPr>
        <w:t xml:space="preserve"> as the evidence in this study suggests</w:t>
      </w:r>
      <w:r w:rsidR="00140365">
        <w:rPr>
          <w:rFonts w:cs="Times New Roman"/>
        </w:rPr>
        <w:t>,</w:t>
      </w:r>
      <w:r w:rsidR="00204336">
        <w:rPr>
          <w:rFonts w:cs="Times New Roman"/>
        </w:rPr>
        <w:t xml:space="preserve"> </w:t>
      </w:r>
      <w:r w:rsidR="000F1F2B">
        <w:rPr>
          <w:rFonts w:cs="Times New Roman"/>
        </w:rPr>
        <w:t>and yet</w:t>
      </w:r>
      <w:r w:rsidR="00204336">
        <w:rPr>
          <w:rFonts w:cs="Times New Roman"/>
        </w:rPr>
        <w:t xml:space="preserve"> </w:t>
      </w:r>
      <w:r w:rsidR="00625555">
        <w:rPr>
          <w:rFonts w:cs="Times New Roman"/>
        </w:rPr>
        <w:t xml:space="preserve">they </w:t>
      </w:r>
      <w:r w:rsidR="003C46E8">
        <w:rPr>
          <w:rFonts w:cs="Times New Roman"/>
        </w:rPr>
        <w:t>are often</w:t>
      </w:r>
      <w:r w:rsidR="00625555">
        <w:rPr>
          <w:rFonts w:cs="Times New Roman"/>
        </w:rPr>
        <w:t xml:space="preserve"> </w:t>
      </w:r>
      <w:r w:rsidR="003C46E8">
        <w:rPr>
          <w:rFonts w:cs="Times New Roman"/>
        </w:rPr>
        <w:t>inadequately</w:t>
      </w:r>
      <w:r w:rsidR="00625555">
        <w:rPr>
          <w:rFonts w:cs="Times New Roman"/>
        </w:rPr>
        <w:t xml:space="preserve"> equipped to respond to </w:t>
      </w:r>
      <w:r w:rsidR="003C46E8">
        <w:rPr>
          <w:rFonts w:cs="Times New Roman"/>
        </w:rPr>
        <w:t>IPV related issues.</w:t>
      </w:r>
      <w:r w:rsidR="00E75159">
        <w:rPr>
          <w:rFonts w:cs="Times New Roman"/>
        </w:rPr>
        <w:t xml:space="preserve"> </w:t>
      </w:r>
      <w:r w:rsidR="00F15D40">
        <w:rPr>
          <w:rFonts w:cs="Times New Roman"/>
        </w:rPr>
        <w:t xml:space="preserve">Community service organisations </w:t>
      </w:r>
      <w:r w:rsidR="00F60C2D">
        <w:rPr>
          <w:rFonts w:cs="Times New Roman"/>
        </w:rPr>
        <w:t>can play a significant role in educating and training community members</w:t>
      </w:r>
      <w:r w:rsidR="00F06CB7">
        <w:rPr>
          <w:rFonts w:cs="Times New Roman"/>
        </w:rPr>
        <w:t>.</w:t>
      </w:r>
      <w:r w:rsidR="00244F86">
        <w:rPr>
          <w:rFonts w:cs="Times New Roman"/>
        </w:rPr>
        <w:t xml:space="preserve"> </w:t>
      </w:r>
      <w:r w:rsidR="001D5B16">
        <w:rPr>
          <w:rFonts w:cs="Times New Roman"/>
        </w:rPr>
        <w:t xml:space="preserve">Funding for </w:t>
      </w:r>
      <w:r w:rsidR="00667A5C">
        <w:rPr>
          <w:rFonts w:cs="Times New Roman"/>
        </w:rPr>
        <w:t xml:space="preserve">community service organisations </w:t>
      </w:r>
      <w:r w:rsidR="00A02782">
        <w:rPr>
          <w:rFonts w:cs="Times New Roman"/>
        </w:rPr>
        <w:t>is</w:t>
      </w:r>
      <w:r w:rsidR="00E75159">
        <w:rPr>
          <w:rFonts w:cs="Times New Roman"/>
        </w:rPr>
        <w:t xml:space="preserve"> pivotal for </w:t>
      </w:r>
      <w:r w:rsidR="00B95F51">
        <w:rPr>
          <w:rFonts w:cs="Times New Roman"/>
        </w:rPr>
        <w:t xml:space="preserve">progress in this regard. </w:t>
      </w:r>
      <w:r w:rsidR="009E2DA5">
        <w:rPr>
          <w:rFonts w:cs="Times New Roman"/>
        </w:rPr>
        <w:t>Frameworks and t</w:t>
      </w:r>
      <w:r w:rsidR="00236B88">
        <w:rPr>
          <w:rFonts w:cs="Times New Roman"/>
        </w:rPr>
        <w:t xml:space="preserve">oolkits for </w:t>
      </w:r>
      <w:r w:rsidR="004D0A35">
        <w:rPr>
          <w:rFonts w:cs="Times New Roman"/>
        </w:rPr>
        <w:t>IPV need to have</w:t>
      </w:r>
      <w:r w:rsidR="00B2408B">
        <w:rPr>
          <w:rFonts w:cs="Times New Roman"/>
        </w:rPr>
        <w:t xml:space="preserve"> a </w:t>
      </w:r>
      <w:r w:rsidR="004D0A35">
        <w:rPr>
          <w:rFonts w:cs="Times New Roman"/>
        </w:rPr>
        <w:t xml:space="preserve">holistic approach rather than individualised </w:t>
      </w:r>
      <w:r w:rsidR="00B2408B">
        <w:rPr>
          <w:rFonts w:cs="Times New Roman"/>
        </w:rPr>
        <w:t xml:space="preserve">focus on </w:t>
      </w:r>
      <w:r w:rsidR="00AF7711">
        <w:rPr>
          <w:rFonts w:cs="Times New Roman"/>
        </w:rPr>
        <w:t>escape</w:t>
      </w:r>
      <w:r w:rsidR="00747165">
        <w:rPr>
          <w:rFonts w:cs="Times New Roman"/>
        </w:rPr>
        <w:t>, avoidance,</w:t>
      </w:r>
      <w:r w:rsidR="00AF7711">
        <w:rPr>
          <w:rFonts w:cs="Times New Roman"/>
        </w:rPr>
        <w:t xml:space="preserve"> and survival. </w:t>
      </w:r>
    </w:p>
    <w:p w14:paraId="7E9E9DA4" w14:textId="0B935BAD" w:rsidR="00395DC2" w:rsidRDefault="0040274B" w:rsidP="005679DA">
      <w:pPr>
        <w:pStyle w:val="Heading2"/>
      </w:pPr>
      <w:r w:rsidRPr="004F0F01">
        <w:t>Conclusion</w:t>
      </w:r>
      <w:bookmarkStart w:id="5" w:name="_Hlk117858667"/>
    </w:p>
    <w:p w14:paraId="7D4713F0" w14:textId="507B5167" w:rsidR="004E5850" w:rsidRPr="00F27756" w:rsidRDefault="00AA7AFA" w:rsidP="00E51BAD">
      <w:r>
        <w:t xml:space="preserve">The study </w:t>
      </w:r>
      <w:r w:rsidR="00384BB1">
        <w:t>confirmed that IPV is a prevalent issue</w:t>
      </w:r>
      <w:r w:rsidR="00AD1F80">
        <w:t xml:space="preserve"> </w:t>
      </w:r>
      <w:r w:rsidR="009E3DF1">
        <w:t>and</w:t>
      </w:r>
      <w:r w:rsidR="00533D02">
        <w:t xml:space="preserve"> women in general continue to remain vulnerable </w:t>
      </w:r>
      <w:r w:rsidR="000548B4">
        <w:t xml:space="preserve">to violence and abuse </w:t>
      </w:r>
      <w:r w:rsidR="00533D02">
        <w:t xml:space="preserve">owning to </w:t>
      </w:r>
      <w:r w:rsidR="00A066B0">
        <w:t xml:space="preserve">safety issues related to a lack of education and training on IPV </w:t>
      </w:r>
      <w:r w:rsidR="004D444E">
        <w:t>as well as systemic and service issues.</w:t>
      </w:r>
      <w:bookmarkEnd w:id="5"/>
      <w:r w:rsidR="00AC4D13">
        <w:t xml:space="preserve"> Education and training of community members and </w:t>
      </w:r>
      <w:r w:rsidR="00D97A0D">
        <w:t>professionals</w:t>
      </w:r>
      <w:r w:rsidR="004D4BBF">
        <w:t xml:space="preserve"> on IPV</w:t>
      </w:r>
      <w:r w:rsidR="00D97A0D">
        <w:t xml:space="preserve"> are paramount for </w:t>
      </w:r>
      <w:r w:rsidR="00050143">
        <w:t>effective and lasting social change for ensuring the safety of women.</w:t>
      </w:r>
      <w:r w:rsidR="00B6583D">
        <w:t xml:space="preserve"> </w:t>
      </w:r>
      <w:r w:rsidR="00FD5298">
        <w:t xml:space="preserve">Existing interventions including </w:t>
      </w:r>
      <w:r w:rsidR="005574F1">
        <w:t>protection orders are well intended although they are inadequate</w:t>
      </w:r>
      <w:r w:rsidR="0079008F">
        <w:t xml:space="preserve"> for ensuring the safety of women under the current circumstances. </w:t>
      </w:r>
      <w:r w:rsidR="009E124C" w:rsidRPr="001F654A">
        <w:t xml:space="preserve">The findings </w:t>
      </w:r>
      <w:r w:rsidR="00EC382C" w:rsidRPr="001F654A">
        <w:t xml:space="preserve">from the study </w:t>
      </w:r>
      <w:r w:rsidR="009E124C" w:rsidRPr="001F654A">
        <w:t xml:space="preserve">show that a holistic approach that </w:t>
      </w:r>
      <w:r w:rsidR="000944B8" w:rsidRPr="001F654A">
        <w:t xml:space="preserve">involves professional training, community education, </w:t>
      </w:r>
      <w:r w:rsidR="00420CA5" w:rsidRPr="001F654A">
        <w:t>effective services</w:t>
      </w:r>
      <w:r w:rsidR="001672FA" w:rsidRPr="001F654A">
        <w:t xml:space="preserve">, and fair </w:t>
      </w:r>
      <w:r w:rsidR="00682400" w:rsidRPr="001F654A">
        <w:t xml:space="preserve">and robust processes are </w:t>
      </w:r>
      <w:r w:rsidR="00565DC7" w:rsidRPr="001F654A">
        <w:t xml:space="preserve">important for ensuring the safety of women within IPV contexts. </w:t>
      </w:r>
    </w:p>
    <w:p w14:paraId="59AE1123" w14:textId="77777777" w:rsidR="00395DC2" w:rsidRPr="004F0F01" w:rsidRDefault="00395DC2" w:rsidP="00395DC2">
      <w:pPr>
        <w:pStyle w:val="BodyText"/>
        <w:spacing w:after="0" w:line="240" w:lineRule="auto"/>
      </w:pPr>
    </w:p>
    <w:p w14:paraId="3DA318FC" w14:textId="77777777" w:rsidR="006F64CE" w:rsidRDefault="006F64CE" w:rsidP="006F64CE">
      <w:pPr>
        <w:spacing w:after="0" w:line="240" w:lineRule="auto"/>
        <w:rPr>
          <w:rFonts w:cs="Times New Roman"/>
          <w:szCs w:val="24"/>
        </w:rPr>
      </w:pPr>
    </w:p>
    <w:p w14:paraId="2C8352CA" w14:textId="77777777" w:rsidR="007A1A23" w:rsidRDefault="007A1A23" w:rsidP="005679DA">
      <w:pPr>
        <w:pStyle w:val="Heading2"/>
      </w:pPr>
    </w:p>
    <w:p w14:paraId="7FCA805D" w14:textId="77777777" w:rsidR="004E1215" w:rsidRDefault="004E1215" w:rsidP="005679DA">
      <w:pPr>
        <w:pStyle w:val="Heading2"/>
        <w:rPr>
          <w:rFonts w:eastAsiaTheme="minorHAnsi"/>
        </w:rPr>
      </w:pPr>
    </w:p>
    <w:p w14:paraId="193394CC" w14:textId="77777777" w:rsidR="004E1215" w:rsidRDefault="004E1215" w:rsidP="004E1215"/>
    <w:p w14:paraId="36E5C9FB" w14:textId="77777777" w:rsidR="004E1215" w:rsidRDefault="004E1215" w:rsidP="004E1215"/>
    <w:p w14:paraId="5FD6B7D3" w14:textId="77777777" w:rsidR="004E1215" w:rsidRPr="004E1215" w:rsidRDefault="004E1215" w:rsidP="004E1215"/>
    <w:p w14:paraId="388E377D" w14:textId="77777777" w:rsidR="007A1A23" w:rsidRPr="007A1A23" w:rsidRDefault="007A1A23" w:rsidP="007A1A23"/>
    <w:p w14:paraId="5CBFE0F3" w14:textId="77777777" w:rsidR="007A1A23" w:rsidRDefault="007A1A23" w:rsidP="005679DA">
      <w:pPr>
        <w:pStyle w:val="Heading2"/>
      </w:pPr>
    </w:p>
    <w:p w14:paraId="3B4EB1AD" w14:textId="77777777" w:rsidR="007A1A23" w:rsidRDefault="007A1A23" w:rsidP="005679DA">
      <w:pPr>
        <w:pStyle w:val="Heading2"/>
      </w:pPr>
    </w:p>
    <w:p w14:paraId="422D34C3" w14:textId="77777777" w:rsidR="007A1A23" w:rsidRPr="007A1A23" w:rsidRDefault="007A1A23" w:rsidP="000A0E57"/>
    <w:p w14:paraId="7055E69D" w14:textId="0550136D" w:rsidR="00315CD5" w:rsidRPr="004F0F01" w:rsidRDefault="00B532E7" w:rsidP="005679DA">
      <w:pPr>
        <w:pStyle w:val="Heading2"/>
      </w:pPr>
      <w:r w:rsidRPr="004F0F01">
        <w:t>References</w:t>
      </w:r>
    </w:p>
    <w:p w14:paraId="4A7A905B"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Australian Bureau of Statistics (ABS). (2020). Recorded crime – victims, Australia. https://www.abs.gov.au/statistics/people/crime-and-justice/recorded-crime-victims/2019#victims-of-family-and-domestic-violence-related-offences. </w:t>
      </w:r>
    </w:p>
    <w:p w14:paraId="5B00D0CB"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Australian Bureau of Statistics (ABS). (2021). Recorded crime-victims. https://www.abs.gov.au/statistics/people/crime-and-justice/recorded-crime-victims/latest-release.</w:t>
      </w:r>
    </w:p>
    <w:p w14:paraId="4956DE80"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Australian Institute of Health and Welfare (AIHW). (2018). Family, domestic, and sexual violence in Australia 2018. Cat. No. FDV2. Canberra. AIHW. https://www.aihw.gov.au/reports/domesticviolence/family-domestic-sexual-violence-in-australia-2018/summary. </w:t>
      </w:r>
    </w:p>
    <w:p w14:paraId="24A2BDC7"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Baum, A., </w:t>
      </w:r>
      <w:proofErr w:type="spellStart"/>
      <w:r w:rsidRPr="00146CBF">
        <w:rPr>
          <w:rFonts w:cs="Times New Roman"/>
          <w:szCs w:val="24"/>
        </w:rPr>
        <w:t>Valpied</w:t>
      </w:r>
      <w:proofErr w:type="spellEnd"/>
      <w:r w:rsidRPr="00146CBF">
        <w:rPr>
          <w:rFonts w:cs="Times New Roman"/>
          <w:szCs w:val="24"/>
        </w:rPr>
        <w:t xml:space="preserve">, J., Kuruppu, J., &amp; Hegarty, K. (2022). Intimate partner violence education in Australian medical schools: Has anything changed? </w:t>
      </w:r>
      <w:r w:rsidRPr="00146CBF">
        <w:rPr>
          <w:rFonts w:cs="Times New Roman"/>
          <w:i/>
          <w:iCs/>
          <w:szCs w:val="24"/>
        </w:rPr>
        <w:t>Australian and New Zealand Journal of Public Health, 46</w:t>
      </w:r>
      <w:r w:rsidRPr="00146CBF">
        <w:rPr>
          <w:rFonts w:cs="Times New Roman"/>
          <w:szCs w:val="24"/>
        </w:rPr>
        <w:t xml:space="preserve">(2), 111-1116. https://doi.org/10.1111/1753-6405.13160. </w:t>
      </w:r>
    </w:p>
    <w:p w14:paraId="125736A4" w14:textId="20B6DA98"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Blagg, H., </w:t>
      </w:r>
      <w:proofErr w:type="spellStart"/>
      <w:r w:rsidRPr="00146CBF">
        <w:rPr>
          <w:rFonts w:cs="Times New Roman"/>
          <w:szCs w:val="24"/>
        </w:rPr>
        <w:t>Hovane</w:t>
      </w:r>
      <w:proofErr w:type="spellEnd"/>
      <w:r w:rsidRPr="00146CBF">
        <w:rPr>
          <w:rFonts w:cs="Times New Roman"/>
          <w:szCs w:val="24"/>
        </w:rPr>
        <w:t xml:space="preserve">, V., </w:t>
      </w:r>
      <w:proofErr w:type="spellStart"/>
      <w:r w:rsidRPr="00146CBF">
        <w:rPr>
          <w:rFonts w:cs="Times New Roman"/>
          <w:szCs w:val="24"/>
        </w:rPr>
        <w:t>Tulich</w:t>
      </w:r>
      <w:proofErr w:type="spellEnd"/>
      <w:r w:rsidRPr="00146CBF">
        <w:rPr>
          <w:rFonts w:cs="Times New Roman"/>
          <w:szCs w:val="24"/>
        </w:rPr>
        <w:t xml:space="preserve">, T., Raye, D., May, S., &amp; </w:t>
      </w:r>
      <w:proofErr w:type="spellStart"/>
      <w:r w:rsidRPr="00146CBF">
        <w:rPr>
          <w:rFonts w:cs="Times New Roman"/>
          <w:szCs w:val="24"/>
        </w:rPr>
        <w:t>Worrigal</w:t>
      </w:r>
      <w:proofErr w:type="spellEnd"/>
      <w:r w:rsidRPr="00146CBF">
        <w:rPr>
          <w:rFonts w:cs="Times New Roman"/>
          <w:szCs w:val="24"/>
        </w:rPr>
        <w:t xml:space="preserve">, T. (2022). Law, </w:t>
      </w:r>
      <w:proofErr w:type="gramStart"/>
      <w:r w:rsidRPr="00146CBF">
        <w:rPr>
          <w:rFonts w:cs="Times New Roman"/>
          <w:szCs w:val="24"/>
        </w:rPr>
        <w:t>culture</w:t>
      </w:r>
      <w:proofErr w:type="gramEnd"/>
      <w:r w:rsidRPr="00146CBF">
        <w:rPr>
          <w:rFonts w:cs="Times New Roman"/>
          <w:szCs w:val="24"/>
        </w:rPr>
        <w:t xml:space="preserve"> and decolonisation: The perspectives of aboriginal elders on family violence in Australia. </w:t>
      </w:r>
      <w:r w:rsidRPr="00146CBF">
        <w:rPr>
          <w:rFonts w:cs="Times New Roman"/>
          <w:i/>
          <w:iCs/>
          <w:szCs w:val="24"/>
        </w:rPr>
        <w:t>Social &amp;</w:t>
      </w:r>
      <w:r w:rsidR="000E296B">
        <w:rPr>
          <w:rFonts w:cs="Times New Roman"/>
          <w:i/>
          <w:iCs/>
          <w:szCs w:val="24"/>
        </w:rPr>
        <w:t xml:space="preserve"> </w:t>
      </w:r>
      <w:r w:rsidRPr="00146CBF">
        <w:rPr>
          <w:rFonts w:cs="Times New Roman"/>
          <w:i/>
          <w:iCs/>
          <w:szCs w:val="24"/>
        </w:rPr>
        <w:t>Legal Studies</w:t>
      </w:r>
      <w:r w:rsidRPr="00146CBF">
        <w:rPr>
          <w:rFonts w:cs="Times New Roman"/>
          <w:szCs w:val="24"/>
        </w:rPr>
        <w:t>, </w:t>
      </w:r>
      <w:r w:rsidRPr="00146CBF">
        <w:rPr>
          <w:rFonts w:cs="Times New Roman"/>
          <w:i/>
          <w:iCs/>
          <w:szCs w:val="24"/>
        </w:rPr>
        <w:t>31</w:t>
      </w:r>
      <w:r w:rsidRPr="00146CBF">
        <w:rPr>
          <w:rFonts w:cs="Times New Roman"/>
          <w:szCs w:val="24"/>
        </w:rPr>
        <w:t xml:space="preserve">(4), 535–558. https://doi.org/10.1177/09646639211046134. </w:t>
      </w:r>
    </w:p>
    <w:p w14:paraId="36D7DFA9" w14:textId="3BD51353"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Collins Dictionary. (n.d.). </w:t>
      </w:r>
      <w:r w:rsidRPr="00146CBF">
        <w:rPr>
          <w:rFonts w:cs="Times New Roman"/>
          <w:i/>
          <w:iCs/>
          <w:szCs w:val="24"/>
        </w:rPr>
        <w:t>Definition of ‘safety’.</w:t>
      </w:r>
      <w:r w:rsidRPr="00146CBF">
        <w:rPr>
          <w:rFonts w:cs="Times New Roman"/>
          <w:szCs w:val="24"/>
        </w:rPr>
        <w:t xml:space="preserve"> https://www.collinsdictionary.com/dictionary/english/safety. </w:t>
      </w:r>
      <w:r w:rsidR="00DB057B">
        <w:rPr>
          <w:rFonts w:cs="Times New Roman"/>
          <w:szCs w:val="24"/>
        </w:rPr>
        <w:t xml:space="preserve">Accessed on </w:t>
      </w:r>
      <w:r w:rsidR="00101EE5">
        <w:rPr>
          <w:rFonts w:cs="Times New Roman"/>
          <w:szCs w:val="24"/>
        </w:rPr>
        <w:t>15 October 2022</w:t>
      </w:r>
      <w:r w:rsidR="00392CBB">
        <w:rPr>
          <w:rFonts w:cs="Times New Roman"/>
          <w:szCs w:val="24"/>
        </w:rPr>
        <w:t xml:space="preserve">. </w:t>
      </w:r>
    </w:p>
    <w:p w14:paraId="12AC2513"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Corrie, T. (2015). Changing the trajectory: Domestic and family violence and economic insecurity. </w:t>
      </w:r>
      <w:r w:rsidRPr="00146CBF">
        <w:rPr>
          <w:rFonts w:cs="Times New Roman"/>
          <w:i/>
          <w:iCs/>
          <w:szCs w:val="24"/>
        </w:rPr>
        <w:t>Parity, 28</w:t>
      </w:r>
      <w:r w:rsidRPr="00146CBF">
        <w:rPr>
          <w:rFonts w:cs="Times New Roman"/>
          <w:szCs w:val="24"/>
        </w:rPr>
        <w:t>(7), 12-14. https://search-informit-org.ezproxy.ecu.edu.au/doi/10.3316/informit.598662863970439</w:t>
      </w:r>
    </w:p>
    <w:p w14:paraId="7116F2BC"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Dillon, G., Hussain, R., </w:t>
      </w:r>
      <w:proofErr w:type="spellStart"/>
      <w:r w:rsidRPr="00146CBF">
        <w:rPr>
          <w:rFonts w:cs="Times New Roman"/>
          <w:szCs w:val="24"/>
        </w:rPr>
        <w:t>Kibele</w:t>
      </w:r>
      <w:proofErr w:type="spellEnd"/>
      <w:r w:rsidRPr="00146CBF">
        <w:rPr>
          <w:rFonts w:cs="Times New Roman"/>
          <w:szCs w:val="24"/>
        </w:rPr>
        <w:t xml:space="preserve">, E., Rahman, S., &amp; Loxton, D. (2016). Influence of intimate partner violence on domestic relocation in metropolitan and non-metropolitan young Australian women. </w:t>
      </w:r>
      <w:r w:rsidRPr="00146CBF">
        <w:rPr>
          <w:rFonts w:cs="Times New Roman"/>
          <w:i/>
          <w:iCs/>
          <w:szCs w:val="24"/>
        </w:rPr>
        <w:t>Journal of Violence Against Women, 22</w:t>
      </w:r>
      <w:r w:rsidRPr="00146CBF">
        <w:rPr>
          <w:rFonts w:cs="Times New Roman"/>
          <w:szCs w:val="24"/>
        </w:rPr>
        <w:t>(13), 1597-1620.</w:t>
      </w:r>
    </w:p>
    <w:p w14:paraId="186B1647"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Doran, F., Hutchinson, M., Brown, J., East, L., Irwin, P., Mainey, L., Mather, C., Miller, A., van de Mortel, T., Sweet, L., &amp; Yates, K. (2019). Australian nursing and midwifery student beliefs and attitudes about domestic violence: a multi-site, cross-sectional study. </w:t>
      </w:r>
      <w:r w:rsidRPr="00146CBF">
        <w:rPr>
          <w:rFonts w:cs="Times New Roman"/>
          <w:i/>
          <w:iCs/>
          <w:szCs w:val="24"/>
        </w:rPr>
        <w:t xml:space="preserve">Nurse Education in Practice, 40. </w:t>
      </w:r>
      <w:r w:rsidRPr="00146CBF">
        <w:rPr>
          <w:rFonts w:cs="Times New Roman"/>
          <w:szCs w:val="24"/>
        </w:rPr>
        <w:t>https://doi.org/10.1016/j.nepr.2019.08.007</w:t>
      </w:r>
    </w:p>
    <w:p w14:paraId="5F425E8F" w14:textId="77777777" w:rsidR="00146CBF" w:rsidRPr="00146CBF" w:rsidRDefault="00146CBF" w:rsidP="00D647BB">
      <w:pPr>
        <w:spacing w:after="120"/>
        <w:ind w:left="720" w:hanging="720"/>
        <w:contextualSpacing/>
        <w:jc w:val="left"/>
        <w:rPr>
          <w:rFonts w:cs="Times New Roman"/>
          <w:szCs w:val="24"/>
        </w:rPr>
      </w:pPr>
      <w:proofErr w:type="spellStart"/>
      <w:r w:rsidRPr="00146CBF">
        <w:rPr>
          <w:rFonts w:cs="Times New Roman"/>
          <w:szCs w:val="24"/>
        </w:rPr>
        <w:t>Dragiewicz</w:t>
      </w:r>
      <w:proofErr w:type="spellEnd"/>
      <w:r w:rsidRPr="00146CBF">
        <w:rPr>
          <w:rFonts w:cs="Times New Roman"/>
          <w:szCs w:val="24"/>
        </w:rPr>
        <w:t xml:space="preserve">, M., Harris, B., Woodlock, D., &amp; Salter, M. (2021). Digital media and domestic violence in Australia: Essential contexts. </w:t>
      </w:r>
      <w:r w:rsidRPr="00146CBF">
        <w:rPr>
          <w:rFonts w:cs="Times New Roman"/>
          <w:i/>
          <w:iCs/>
          <w:szCs w:val="24"/>
        </w:rPr>
        <w:t>Journal of Gender-Based Violence</w:t>
      </w:r>
      <w:r w:rsidRPr="00146CBF">
        <w:rPr>
          <w:rFonts w:cs="Times New Roman"/>
          <w:szCs w:val="24"/>
        </w:rPr>
        <w:t xml:space="preserve">, </w:t>
      </w:r>
      <w:r w:rsidRPr="00146CBF">
        <w:rPr>
          <w:rFonts w:cs="Times New Roman"/>
          <w:i/>
          <w:iCs/>
          <w:szCs w:val="24"/>
        </w:rPr>
        <w:t>3</w:t>
      </w:r>
      <w:r w:rsidRPr="00146CBF">
        <w:rPr>
          <w:rFonts w:cs="Times New Roman"/>
          <w:szCs w:val="24"/>
        </w:rPr>
        <w:t>(3), 377–393. https://doin.org/10.1332/239868021X16153782923978</w:t>
      </w:r>
    </w:p>
    <w:p w14:paraId="103279B5" w14:textId="77777777" w:rsidR="00146CBF" w:rsidRPr="00146CBF" w:rsidRDefault="00146CBF" w:rsidP="00D647BB">
      <w:pPr>
        <w:spacing w:after="120"/>
        <w:ind w:left="720" w:hanging="720"/>
        <w:contextualSpacing/>
        <w:jc w:val="left"/>
        <w:rPr>
          <w:rFonts w:cs="Times New Roman"/>
          <w:szCs w:val="24"/>
        </w:rPr>
      </w:pPr>
      <w:proofErr w:type="spellStart"/>
      <w:r w:rsidRPr="00146CBF">
        <w:rPr>
          <w:rFonts w:cs="Times New Roman"/>
          <w:szCs w:val="24"/>
        </w:rPr>
        <w:t>Dragiewicz</w:t>
      </w:r>
      <w:proofErr w:type="spellEnd"/>
      <w:r w:rsidRPr="00146CBF">
        <w:rPr>
          <w:rFonts w:cs="Times New Roman"/>
          <w:szCs w:val="24"/>
        </w:rPr>
        <w:t xml:space="preserve">, M., Woodlock, D., Salter, M., &amp; Harris, B. (2022). "What's mum's password?”: Australian mothers’ perceptions of children's involvement in technology-facilitated coercive control. </w:t>
      </w:r>
      <w:r w:rsidRPr="00146CBF">
        <w:rPr>
          <w:rFonts w:cs="Times New Roman"/>
          <w:i/>
          <w:iCs/>
          <w:szCs w:val="24"/>
        </w:rPr>
        <w:t>Journal of Family Violence</w:t>
      </w:r>
      <w:r w:rsidRPr="00146CBF">
        <w:rPr>
          <w:rFonts w:cs="Times New Roman"/>
          <w:szCs w:val="24"/>
        </w:rPr>
        <w:t xml:space="preserve">, </w:t>
      </w:r>
      <w:r w:rsidRPr="00146CBF">
        <w:rPr>
          <w:rFonts w:cs="Times New Roman"/>
          <w:i/>
          <w:iCs/>
          <w:szCs w:val="24"/>
        </w:rPr>
        <w:t>37</w:t>
      </w:r>
      <w:r w:rsidRPr="00146CBF">
        <w:rPr>
          <w:rFonts w:cs="Times New Roman"/>
          <w:szCs w:val="24"/>
        </w:rPr>
        <w:t>(1), 137. https://doi.org/10.1007/s10896-021-00283-4</w:t>
      </w:r>
    </w:p>
    <w:p w14:paraId="7B73BB7D"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Edith Cowan University. (2022). </w:t>
      </w:r>
      <w:r w:rsidRPr="00146CBF">
        <w:rPr>
          <w:rFonts w:cs="Times New Roman"/>
          <w:i/>
          <w:iCs/>
          <w:szCs w:val="24"/>
        </w:rPr>
        <w:t xml:space="preserve">Information essentials: Evaluation tests: CRAAP test. </w:t>
      </w:r>
      <w:r w:rsidRPr="00146CBF">
        <w:rPr>
          <w:rFonts w:cs="Times New Roman"/>
          <w:szCs w:val="24"/>
        </w:rPr>
        <w:t>https://ecu.au.libguides.com/information-essentials/evaluation-tests</w:t>
      </w:r>
    </w:p>
    <w:p w14:paraId="21ECA718" w14:textId="73244836"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Environment, </w:t>
      </w:r>
      <w:proofErr w:type="gramStart"/>
      <w:r w:rsidRPr="00146CBF">
        <w:rPr>
          <w:rFonts w:cs="Times New Roman"/>
          <w:szCs w:val="24"/>
        </w:rPr>
        <w:t>Health</w:t>
      </w:r>
      <w:proofErr w:type="gramEnd"/>
      <w:r w:rsidRPr="00146CBF">
        <w:rPr>
          <w:rFonts w:cs="Times New Roman"/>
          <w:szCs w:val="24"/>
        </w:rPr>
        <w:t xml:space="preserve"> and Safety. (2021). </w:t>
      </w:r>
      <w:r w:rsidRPr="00146CBF">
        <w:rPr>
          <w:rFonts w:cs="Times New Roman"/>
          <w:i/>
          <w:iCs/>
          <w:szCs w:val="24"/>
        </w:rPr>
        <w:t>Safety concerns</w:t>
      </w:r>
      <w:r w:rsidRPr="00146CBF">
        <w:rPr>
          <w:rFonts w:cs="Times New Roman"/>
          <w:szCs w:val="24"/>
        </w:rPr>
        <w:t>. https://ehs.lbl.gov/resource/databases-systems/safety-concerns/</w:t>
      </w:r>
      <w:r w:rsidR="00392CBB">
        <w:rPr>
          <w:rFonts w:cs="Times New Roman"/>
          <w:szCs w:val="24"/>
        </w:rPr>
        <w:t xml:space="preserve">. Accessed on 15 October </w:t>
      </w:r>
      <w:r w:rsidR="009E6C23">
        <w:rPr>
          <w:rFonts w:cs="Times New Roman"/>
          <w:szCs w:val="24"/>
        </w:rPr>
        <w:t xml:space="preserve">2022. </w:t>
      </w:r>
    </w:p>
    <w:p w14:paraId="0ED300CA" w14:textId="77777777" w:rsidR="00146CBF" w:rsidRPr="00146CBF" w:rsidRDefault="00146CBF" w:rsidP="00D647BB">
      <w:pPr>
        <w:spacing w:after="120"/>
        <w:ind w:left="720" w:hanging="720"/>
        <w:contextualSpacing/>
        <w:jc w:val="left"/>
        <w:rPr>
          <w:rFonts w:cs="Times New Roman"/>
          <w:szCs w:val="24"/>
        </w:rPr>
      </w:pPr>
      <w:r w:rsidRPr="00146CBF">
        <w:rPr>
          <w:rFonts w:cs="Times New Roman"/>
          <w:szCs w:val="24"/>
        </w:rPr>
        <w:t xml:space="preserve">Fisher, C. A., Rudkin, N., &amp; </w:t>
      </w:r>
      <w:proofErr w:type="spellStart"/>
      <w:r w:rsidRPr="00146CBF">
        <w:rPr>
          <w:rFonts w:cs="Times New Roman"/>
          <w:szCs w:val="24"/>
        </w:rPr>
        <w:t>Withiel</w:t>
      </w:r>
      <w:proofErr w:type="spellEnd"/>
      <w:r w:rsidRPr="00146CBF">
        <w:rPr>
          <w:rFonts w:cs="Times New Roman"/>
          <w:szCs w:val="24"/>
        </w:rPr>
        <w:t>, T. (2021). Neuropsychology and family violence: A national survey of training and knowledge levels in clinical neuropsychologists. </w:t>
      </w:r>
      <w:r w:rsidRPr="00146CBF">
        <w:rPr>
          <w:rFonts w:cs="Times New Roman"/>
          <w:i/>
          <w:iCs/>
          <w:szCs w:val="24"/>
        </w:rPr>
        <w:t>Australian Psychologist, 56</w:t>
      </w:r>
      <w:r w:rsidRPr="00146CBF">
        <w:rPr>
          <w:rFonts w:cs="Times New Roman"/>
          <w:szCs w:val="24"/>
        </w:rPr>
        <w:t>(1), 15–24. https://doi.org/10.1080/00050067.2021.1890978.</w:t>
      </w:r>
    </w:p>
    <w:p w14:paraId="4FD1FA48" w14:textId="77777777" w:rsidR="00146CBF" w:rsidRPr="00146CBF" w:rsidRDefault="00146CBF" w:rsidP="00D647BB">
      <w:pPr>
        <w:spacing w:after="120"/>
        <w:ind w:left="720" w:hanging="720"/>
        <w:contextualSpacing/>
        <w:jc w:val="left"/>
        <w:rPr>
          <w:rFonts w:cs="Times New Roman"/>
          <w:szCs w:val="24"/>
        </w:rPr>
      </w:pPr>
      <w:proofErr w:type="spellStart"/>
      <w:r w:rsidRPr="00146CBF">
        <w:rPr>
          <w:rFonts w:cs="Times New Roman"/>
          <w:szCs w:val="24"/>
        </w:rPr>
        <w:t>Forsdike</w:t>
      </w:r>
      <w:proofErr w:type="spellEnd"/>
      <w:r w:rsidRPr="00146CBF">
        <w:rPr>
          <w:rFonts w:cs="Times New Roman"/>
          <w:szCs w:val="24"/>
        </w:rPr>
        <w:t xml:space="preserve">, K., Tarzia, L., Flood, M., </w:t>
      </w:r>
      <w:proofErr w:type="spellStart"/>
      <w:r w:rsidRPr="00146CBF">
        <w:rPr>
          <w:rFonts w:cs="Times New Roman"/>
          <w:szCs w:val="24"/>
        </w:rPr>
        <w:t>Vlais</w:t>
      </w:r>
      <w:proofErr w:type="spellEnd"/>
      <w:r w:rsidRPr="00146CBF">
        <w:rPr>
          <w:rFonts w:cs="Times New Roman"/>
          <w:szCs w:val="24"/>
        </w:rPr>
        <w:t xml:space="preserve">, R., &amp; Hegarty, K. (2021). "A lightbulb moment": Using the theory of planned </w:t>
      </w:r>
      <w:proofErr w:type="spellStart"/>
      <w:r w:rsidRPr="00146CBF">
        <w:rPr>
          <w:rFonts w:cs="Times New Roman"/>
          <w:szCs w:val="24"/>
        </w:rPr>
        <w:t>behavior</w:t>
      </w:r>
      <w:proofErr w:type="spellEnd"/>
      <w:r w:rsidRPr="00146CBF">
        <w:rPr>
          <w:rFonts w:cs="Times New Roman"/>
          <w:szCs w:val="24"/>
        </w:rPr>
        <w:t xml:space="preserve"> to explore the challenges and opportunities for early engagement of Australian men who use violence in their relationships. </w:t>
      </w:r>
      <w:r w:rsidRPr="00146CBF">
        <w:rPr>
          <w:rFonts w:cs="Times New Roman"/>
          <w:i/>
          <w:iCs/>
          <w:szCs w:val="24"/>
        </w:rPr>
        <w:t>Journal of Interpersonal Violence, 36</w:t>
      </w:r>
      <w:r w:rsidRPr="00146CBF">
        <w:rPr>
          <w:rFonts w:cs="Times New Roman"/>
          <w:szCs w:val="24"/>
        </w:rPr>
        <w:t>(7-8), 3913. https://doi.org/10.1177/0886260518780778.</w:t>
      </w:r>
    </w:p>
    <w:p w14:paraId="0E66DF87" w14:textId="0E70B1BB" w:rsidR="004E1215" w:rsidRDefault="00146CBF" w:rsidP="004E1215">
      <w:pPr>
        <w:spacing w:after="120"/>
        <w:ind w:left="720" w:hanging="720"/>
        <w:contextualSpacing/>
        <w:jc w:val="left"/>
        <w:rPr>
          <w:szCs w:val="24"/>
        </w:rPr>
      </w:pPr>
      <w:r w:rsidRPr="00146CBF">
        <w:rPr>
          <w:rFonts w:cs="Times New Roman"/>
          <w:szCs w:val="24"/>
        </w:rPr>
        <w:t>Fugard, A., &amp; Potts, H. W. W. (2020). </w:t>
      </w:r>
      <w:r w:rsidRPr="00146CBF">
        <w:rPr>
          <w:rFonts w:cs="Times New Roman"/>
          <w:i/>
          <w:iCs/>
          <w:szCs w:val="24"/>
        </w:rPr>
        <w:t>Thematic analysis</w:t>
      </w:r>
      <w:r w:rsidRPr="00146CBF">
        <w:rPr>
          <w:rFonts w:cs="Times New Roman"/>
          <w:szCs w:val="24"/>
        </w:rPr>
        <w:t>. (P. Atkinson, S. Delamont, A. Cernat, J. W. Sakshaug, &amp; R. A. Williams, Eds.). Sage Publications. https://methods.sagepub.com/foundations/thematic-analysis.</w:t>
      </w:r>
    </w:p>
    <w:p w14:paraId="4BDEE09C" w14:textId="145F1A1E" w:rsidR="004E1215" w:rsidRDefault="00146CBF" w:rsidP="004E1215">
      <w:pPr>
        <w:spacing w:after="120"/>
        <w:ind w:left="720" w:hanging="720"/>
        <w:contextualSpacing/>
        <w:jc w:val="left"/>
        <w:rPr>
          <w:szCs w:val="24"/>
        </w:rPr>
      </w:pPr>
      <w:r w:rsidRPr="00146CBF">
        <w:rPr>
          <w:szCs w:val="24"/>
        </w:rPr>
        <w:t xml:space="preserve">Hing, N., </w:t>
      </w:r>
      <w:proofErr w:type="spellStart"/>
      <w:r w:rsidRPr="00146CBF">
        <w:rPr>
          <w:szCs w:val="24"/>
        </w:rPr>
        <w:t>O'Mullan</w:t>
      </w:r>
      <w:proofErr w:type="spellEnd"/>
      <w:r w:rsidRPr="00146CBF">
        <w:rPr>
          <w:szCs w:val="24"/>
        </w:rPr>
        <w:t xml:space="preserve">, C., Nuske, E., Breen, H., Mainey, L., Taylor, A., Greer, N., Jenkinson, R., Thomas, A., Lee, J., &amp; Jackson, A. (2021). Gambling-related intimate partner violence against women: A grounded theory model of individual and relationship determinants. </w:t>
      </w:r>
      <w:r w:rsidRPr="00146CBF">
        <w:rPr>
          <w:i/>
          <w:iCs/>
          <w:szCs w:val="24"/>
        </w:rPr>
        <w:t>Journal of Interpersonal Violence</w:t>
      </w:r>
      <w:r w:rsidRPr="00146CBF">
        <w:rPr>
          <w:szCs w:val="24"/>
        </w:rPr>
        <w:t>. https://doi.org/10.1177/08862605211037425.</w:t>
      </w:r>
    </w:p>
    <w:p w14:paraId="38C0BED0" w14:textId="1F79B9CE" w:rsidR="004E1215" w:rsidRDefault="00146CBF" w:rsidP="004E1215">
      <w:pPr>
        <w:spacing w:after="120"/>
        <w:ind w:left="720" w:hanging="720"/>
        <w:contextualSpacing/>
        <w:jc w:val="left"/>
        <w:rPr>
          <w:szCs w:val="24"/>
        </w:rPr>
      </w:pPr>
      <w:r w:rsidRPr="00146CBF">
        <w:rPr>
          <w:szCs w:val="24"/>
        </w:rPr>
        <w:t xml:space="preserve">Hulme, S., Morgan, A., &amp; Boxall, H. (2019). Domestic violence offenders, prior </w:t>
      </w:r>
      <w:proofErr w:type="gramStart"/>
      <w:r w:rsidRPr="00146CBF">
        <w:rPr>
          <w:szCs w:val="24"/>
        </w:rPr>
        <w:t>offending</w:t>
      </w:r>
      <w:proofErr w:type="gramEnd"/>
      <w:r w:rsidRPr="00146CBF">
        <w:rPr>
          <w:szCs w:val="24"/>
        </w:rPr>
        <w:t xml:space="preserve"> and reoffending in Australia. </w:t>
      </w:r>
      <w:r w:rsidRPr="00146CBF">
        <w:rPr>
          <w:i/>
          <w:iCs/>
          <w:szCs w:val="24"/>
        </w:rPr>
        <w:t>Trends &amp; Issues in Crime and Criminal Justice, 580</w:t>
      </w:r>
      <w:r w:rsidRPr="00146CBF">
        <w:rPr>
          <w:szCs w:val="24"/>
        </w:rPr>
        <w:t xml:space="preserve"> (580), 1–22. https://search-informit-org.ezproxy.ecu.edu.au/doi/10.3316/ielapa.699971903102128</w:t>
      </w:r>
    </w:p>
    <w:p w14:paraId="6D50FA51" w14:textId="6FF8D999" w:rsidR="00146CBF" w:rsidRPr="00146CBF" w:rsidRDefault="00146CBF" w:rsidP="004E1215">
      <w:pPr>
        <w:spacing w:after="120"/>
        <w:ind w:left="720" w:hanging="720"/>
        <w:contextualSpacing/>
        <w:jc w:val="left"/>
        <w:rPr>
          <w:szCs w:val="24"/>
        </w:rPr>
      </w:pPr>
      <w:r w:rsidRPr="00146CBF">
        <w:rPr>
          <w:szCs w:val="24"/>
        </w:rPr>
        <w:t>Kiteley, R., &amp; Stogdon, C. (2013). </w:t>
      </w:r>
      <w:r w:rsidRPr="00146CBF">
        <w:rPr>
          <w:i/>
          <w:iCs/>
          <w:szCs w:val="24"/>
        </w:rPr>
        <w:t>Literature reviews in social work</w:t>
      </w:r>
      <w:r w:rsidRPr="00146CBF">
        <w:rPr>
          <w:szCs w:val="24"/>
        </w:rPr>
        <w:t>. Sage Publications, Limited. https://ebookcentral.proquest.com/lib/ECU/detail.action?docID=4004022.</w:t>
      </w:r>
    </w:p>
    <w:p w14:paraId="569FDFE6" w14:textId="77777777" w:rsidR="00146CBF" w:rsidRPr="00146CBF" w:rsidRDefault="00146CBF" w:rsidP="00D647BB">
      <w:pPr>
        <w:pStyle w:val="BodyText"/>
        <w:ind w:left="720" w:hanging="720"/>
        <w:contextualSpacing/>
        <w:jc w:val="left"/>
        <w:rPr>
          <w:szCs w:val="24"/>
        </w:rPr>
      </w:pPr>
      <w:r w:rsidRPr="00146CBF">
        <w:rPr>
          <w:szCs w:val="24"/>
        </w:rPr>
        <w:t>McLindon, E., Humphreys, C., &amp; Hegarty, K. (2019). Is a clinician's personal history of domestic violence associated with their clinical care of patients: a cross-sectional study. </w:t>
      </w:r>
      <w:proofErr w:type="spellStart"/>
      <w:r w:rsidRPr="00146CBF">
        <w:rPr>
          <w:i/>
          <w:iCs/>
          <w:szCs w:val="24"/>
        </w:rPr>
        <w:t>Bmj</w:t>
      </w:r>
      <w:proofErr w:type="spellEnd"/>
      <w:r w:rsidRPr="00146CBF">
        <w:rPr>
          <w:i/>
          <w:iCs/>
          <w:szCs w:val="24"/>
        </w:rPr>
        <w:t xml:space="preserve"> Open</w:t>
      </w:r>
      <w:r w:rsidRPr="00146CBF">
        <w:rPr>
          <w:szCs w:val="24"/>
        </w:rPr>
        <w:t>, </w:t>
      </w:r>
      <w:r w:rsidRPr="00146CBF">
        <w:rPr>
          <w:i/>
          <w:iCs/>
          <w:szCs w:val="24"/>
        </w:rPr>
        <w:t>9</w:t>
      </w:r>
      <w:r w:rsidRPr="00146CBF">
        <w:rPr>
          <w:szCs w:val="24"/>
        </w:rPr>
        <w:t>(7), 029276. https://doi.org/10.1136/bmjopen-2019-029276.</w:t>
      </w:r>
    </w:p>
    <w:p w14:paraId="4E5D58BD" w14:textId="77777777" w:rsidR="00146CBF" w:rsidRPr="00146CBF" w:rsidRDefault="00146CBF" w:rsidP="00D647BB">
      <w:pPr>
        <w:pStyle w:val="BodyText"/>
        <w:ind w:left="720" w:hanging="720"/>
        <w:contextualSpacing/>
        <w:jc w:val="left"/>
        <w:rPr>
          <w:szCs w:val="24"/>
        </w:rPr>
      </w:pPr>
      <w:r w:rsidRPr="00146CBF">
        <w:rPr>
          <w:szCs w:val="24"/>
        </w:rPr>
        <w:t xml:space="preserve">Meyer, S., &amp; </w:t>
      </w:r>
      <w:proofErr w:type="spellStart"/>
      <w:r w:rsidRPr="00146CBF">
        <w:rPr>
          <w:szCs w:val="24"/>
        </w:rPr>
        <w:t>Stambe</w:t>
      </w:r>
      <w:proofErr w:type="spellEnd"/>
      <w:r w:rsidRPr="00146CBF">
        <w:rPr>
          <w:szCs w:val="24"/>
        </w:rPr>
        <w:t>, R.M. (2021). Indigenous women's experiences of domestic and family violence, help-</w:t>
      </w:r>
      <w:proofErr w:type="gramStart"/>
      <w:r w:rsidRPr="00146CBF">
        <w:rPr>
          <w:szCs w:val="24"/>
        </w:rPr>
        <w:t>seeking</w:t>
      </w:r>
      <w:proofErr w:type="gramEnd"/>
      <w:r w:rsidRPr="00146CBF">
        <w:rPr>
          <w:szCs w:val="24"/>
        </w:rPr>
        <w:t xml:space="preserve"> and recovery in regional </w:t>
      </w:r>
      <w:proofErr w:type="spellStart"/>
      <w:r w:rsidRPr="00146CBF">
        <w:rPr>
          <w:szCs w:val="24"/>
        </w:rPr>
        <w:t>queensland</w:t>
      </w:r>
      <w:proofErr w:type="spellEnd"/>
      <w:r w:rsidRPr="00146CBF">
        <w:rPr>
          <w:szCs w:val="24"/>
        </w:rPr>
        <w:t>. </w:t>
      </w:r>
      <w:r w:rsidRPr="00146CBF">
        <w:rPr>
          <w:i/>
          <w:iCs/>
          <w:szCs w:val="24"/>
        </w:rPr>
        <w:t>Australian Journal of Social Issues</w:t>
      </w:r>
      <w:r w:rsidRPr="00146CBF">
        <w:rPr>
          <w:szCs w:val="24"/>
        </w:rPr>
        <w:t>, </w:t>
      </w:r>
      <w:r w:rsidRPr="00146CBF">
        <w:rPr>
          <w:i/>
          <w:iCs/>
          <w:szCs w:val="24"/>
        </w:rPr>
        <w:t>56</w:t>
      </w:r>
      <w:r w:rsidRPr="00146CBF">
        <w:rPr>
          <w:szCs w:val="24"/>
        </w:rPr>
        <w:t>(3), 443–458. https://doi.org/10.1002/ajs4.128.</w:t>
      </w:r>
    </w:p>
    <w:p w14:paraId="6E2230DC" w14:textId="77777777" w:rsidR="00146CBF" w:rsidRPr="00146CBF" w:rsidRDefault="00146CBF" w:rsidP="00D647BB">
      <w:pPr>
        <w:pStyle w:val="BodyText"/>
        <w:ind w:left="720" w:hanging="720"/>
        <w:contextualSpacing/>
        <w:jc w:val="left"/>
        <w:rPr>
          <w:szCs w:val="24"/>
        </w:rPr>
      </w:pPr>
      <w:r w:rsidRPr="00146CBF">
        <w:rPr>
          <w:szCs w:val="24"/>
        </w:rPr>
        <w:t xml:space="preserve">Minto, K., Masser, B. M., &amp; Louis, W. R. (2022). Identifying nonphysical intimate partner violence in relationships: The role of beliefs and schemas. </w:t>
      </w:r>
      <w:r w:rsidRPr="00146CBF">
        <w:rPr>
          <w:i/>
          <w:iCs/>
          <w:szCs w:val="24"/>
        </w:rPr>
        <w:t>Journal of Interpersonal Violence, 37</w:t>
      </w:r>
      <w:r w:rsidRPr="00146CBF">
        <w:rPr>
          <w:szCs w:val="24"/>
        </w:rPr>
        <w:t>(5-6), 2416–2442. https://doi.org/10.1177/0886260520938505</w:t>
      </w:r>
    </w:p>
    <w:p w14:paraId="30B95ED6" w14:textId="77777777" w:rsidR="00146CBF" w:rsidRPr="00146CBF" w:rsidRDefault="00146CBF" w:rsidP="00D647BB">
      <w:pPr>
        <w:pStyle w:val="BodyText"/>
        <w:ind w:left="720" w:hanging="720"/>
        <w:contextualSpacing/>
        <w:jc w:val="left"/>
        <w:rPr>
          <w:szCs w:val="24"/>
        </w:rPr>
      </w:pPr>
      <w:proofErr w:type="spellStart"/>
      <w:r w:rsidRPr="00146CBF">
        <w:rPr>
          <w:szCs w:val="24"/>
        </w:rPr>
        <w:t>Natalier</w:t>
      </w:r>
      <w:proofErr w:type="spellEnd"/>
      <w:r w:rsidRPr="00146CBF">
        <w:rPr>
          <w:szCs w:val="24"/>
        </w:rPr>
        <w:t xml:space="preserve">, K. (2018). State facilitated economic abuse: A structural analysis of men deliberately withholding child support. </w:t>
      </w:r>
      <w:r w:rsidRPr="00146CBF">
        <w:rPr>
          <w:i/>
          <w:iCs/>
          <w:szCs w:val="24"/>
        </w:rPr>
        <w:t>Feminist Legal Studies, 26</w:t>
      </w:r>
      <w:r w:rsidRPr="00146CBF">
        <w:rPr>
          <w:szCs w:val="24"/>
        </w:rPr>
        <w:t>(2), 121–140. https://doi.org/10.1007/s10691-018-9376-1</w:t>
      </w:r>
    </w:p>
    <w:p w14:paraId="5277F568" w14:textId="77777777" w:rsidR="00146CBF" w:rsidRPr="00146CBF" w:rsidRDefault="00146CBF" w:rsidP="00D647BB">
      <w:pPr>
        <w:pStyle w:val="BodyText"/>
        <w:ind w:left="720" w:hanging="720"/>
        <w:contextualSpacing/>
        <w:jc w:val="left"/>
        <w:rPr>
          <w:szCs w:val="24"/>
        </w:rPr>
      </w:pPr>
      <w:r w:rsidRPr="00146CBF">
        <w:rPr>
          <w:szCs w:val="24"/>
        </w:rPr>
        <w:t xml:space="preserve">Noble, H., &amp; Smith, J. (2018). Reviewing the literature: Choosing a review design. </w:t>
      </w:r>
      <w:r w:rsidRPr="00146CBF">
        <w:rPr>
          <w:i/>
          <w:iCs/>
          <w:szCs w:val="24"/>
        </w:rPr>
        <w:t>Evidence-based Nursing, 21</w:t>
      </w:r>
      <w:r w:rsidRPr="00146CBF">
        <w:rPr>
          <w:szCs w:val="24"/>
        </w:rPr>
        <w:t>(2), 39-41. http://dx.doi.org/10.</w:t>
      </w:r>
    </w:p>
    <w:p w14:paraId="5F0E836D" w14:textId="77777777" w:rsidR="00146CBF" w:rsidRPr="00146CBF" w:rsidRDefault="00146CBF" w:rsidP="00D647BB">
      <w:pPr>
        <w:pStyle w:val="BodyText"/>
        <w:ind w:left="720" w:hanging="720"/>
        <w:contextualSpacing/>
        <w:jc w:val="left"/>
        <w:rPr>
          <w:szCs w:val="24"/>
        </w:rPr>
      </w:pPr>
      <w:r w:rsidRPr="00146CBF">
        <w:rPr>
          <w:szCs w:val="24"/>
        </w:rPr>
        <w:t xml:space="preserve">Patafio, B., Miller, P., Walker, A., Coomber, K., Curtis, A., </w:t>
      </w:r>
      <w:proofErr w:type="spellStart"/>
      <w:r w:rsidRPr="00146CBF">
        <w:rPr>
          <w:szCs w:val="24"/>
        </w:rPr>
        <w:t>Karantzas</w:t>
      </w:r>
      <w:proofErr w:type="spellEnd"/>
      <w:r w:rsidRPr="00146CBF">
        <w:rPr>
          <w:szCs w:val="24"/>
        </w:rPr>
        <w:t xml:space="preserve">, G., </w:t>
      </w:r>
      <w:proofErr w:type="spellStart"/>
      <w:r w:rsidRPr="00146CBF">
        <w:rPr>
          <w:szCs w:val="24"/>
        </w:rPr>
        <w:t>Mayshak</w:t>
      </w:r>
      <w:proofErr w:type="spellEnd"/>
      <w:r w:rsidRPr="00146CBF">
        <w:rPr>
          <w:szCs w:val="24"/>
        </w:rPr>
        <w:t xml:space="preserve">, R., Taylor, N., &amp; Hyder, S. (2022). Coercive controlling </w:t>
      </w:r>
      <w:proofErr w:type="spellStart"/>
      <w:r w:rsidRPr="00146CBF">
        <w:rPr>
          <w:szCs w:val="24"/>
        </w:rPr>
        <w:t>behaviors</w:t>
      </w:r>
      <w:proofErr w:type="spellEnd"/>
      <w:r w:rsidRPr="00146CBF">
        <w:rPr>
          <w:szCs w:val="24"/>
        </w:rPr>
        <w:t xml:space="preserve"> and reporting physical intimate partner violence in Australian women: an exploration. </w:t>
      </w:r>
      <w:r w:rsidRPr="00146CBF">
        <w:rPr>
          <w:i/>
          <w:iCs/>
          <w:szCs w:val="24"/>
        </w:rPr>
        <w:t>Journal of Violence Against Women, 28</w:t>
      </w:r>
      <w:r w:rsidRPr="00146CBF">
        <w:rPr>
          <w:szCs w:val="24"/>
        </w:rPr>
        <w:t>(2), 375–394. https://doi.org/10.1177/1077801220985932.</w:t>
      </w:r>
    </w:p>
    <w:p w14:paraId="4AD4D4F9" w14:textId="77777777" w:rsidR="00146CBF" w:rsidRPr="00146CBF" w:rsidRDefault="00146CBF" w:rsidP="00D647BB">
      <w:pPr>
        <w:pStyle w:val="BodyText"/>
        <w:ind w:left="720" w:hanging="720"/>
        <w:contextualSpacing/>
        <w:jc w:val="left"/>
        <w:rPr>
          <w:szCs w:val="24"/>
        </w:rPr>
      </w:pPr>
      <w:r w:rsidRPr="00146CBF">
        <w:rPr>
          <w:szCs w:val="24"/>
        </w:rPr>
        <w:t xml:space="preserve">Sim, T., He, M., &amp; Dominelli, L. (2022). Social work core competencies in disaster management practice: An integrative review. </w:t>
      </w:r>
      <w:r w:rsidRPr="00146CBF">
        <w:rPr>
          <w:i/>
          <w:iCs/>
          <w:szCs w:val="24"/>
        </w:rPr>
        <w:t>Research on Social Work Practice, 32</w:t>
      </w:r>
      <w:r w:rsidRPr="00146CBF">
        <w:rPr>
          <w:szCs w:val="24"/>
        </w:rPr>
        <w:t>(3), 310–321. https://doi.org/10.1177/10497315211055427</w:t>
      </w:r>
    </w:p>
    <w:p w14:paraId="7C514999" w14:textId="699F0C8C" w:rsidR="00146CBF" w:rsidRPr="00146CBF" w:rsidRDefault="00146CBF" w:rsidP="00D647BB">
      <w:pPr>
        <w:pStyle w:val="BodyText"/>
        <w:ind w:left="720" w:hanging="720"/>
        <w:contextualSpacing/>
        <w:jc w:val="left"/>
        <w:rPr>
          <w:szCs w:val="24"/>
        </w:rPr>
      </w:pPr>
      <w:r w:rsidRPr="00146CBF">
        <w:rPr>
          <w:szCs w:val="24"/>
        </w:rPr>
        <w:t>Spangaro, J., Herring, S., Koziol-McLain, J., Rutherford, A., &amp; Zwi, A. B. (2019). '</w:t>
      </w:r>
      <w:r w:rsidR="00D16F06" w:rsidRPr="00146CBF">
        <w:rPr>
          <w:szCs w:val="24"/>
        </w:rPr>
        <w:t>Yarn</w:t>
      </w:r>
      <w:r w:rsidRPr="00146CBF">
        <w:rPr>
          <w:szCs w:val="24"/>
        </w:rPr>
        <w:t xml:space="preserve"> about it': Aboriginal Australian women's perceptions of the impact of routine enquiry for intimate partner violence. </w:t>
      </w:r>
      <w:r w:rsidRPr="00146CBF">
        <w:rPr>
          <w:i/>
          <w:iCs/>
          <w:szCs w:val="24"/>
        </w:rPr>
        <w:t>Culture, Health &amp; Sexuality</w:t>
      </w:r>
      <w:r w:rsidRPr="00146CBF">
        <w:rPr>
          <w:szCs w:val="24"/>
        </w:rPr>
        <w:t>, </w:t>
      </w:r>
      <w:r w:rsidRPr="00146CBF">
        <w:rPr>
          <w:i/>
          <w:iCs/>
          <w:szCs w:val="24"/>
        </w:rPr>
        <w:t>21</w:t>
      </w:r>
      <w:r w:rsidRPr="00146CBF">
        <w:rPr>
          <w:szCs w:val="24"/>
        </w:rPr>
        <w:t>(7), 789–806. https://doi.org/10.1080/13691058.2018.1519117</w:t>
      </w:r>
    </w:p>
    <w:p w14:paraId="55816320" w14:textId="77777777" w:rsidR="00146CBF" w:rsidRPr="00146CBF" w:rsidRDefault="00146CBF" w:rsidP="00D647BB">
      <w:pPr>
        <w:pStyle w:val="BodyText"/>
        <w:ind w:left="720" w:hanging="720"/>
        <w:contextualSpacing/>
        <w:jc w:val="left"/>
        <w:rPr>
          <w:szCs w:val="24"/>
        </w:rPr>
      </w:pPr>
      <w:r w:rsidRPr="00146CBF">
        <w:rPr>
          <w:szCs w:val="24"/>
        </w:rPr>
        <w:t xml:space="preserve">Tarzia, L., &amp; Tyler, M. (2021). Recognizing connections between intimate partner sexual violence and pornography. </w:t>
      </w:r>
      <w:r w:rsidRPr="00146CBF">
        <w:rPr>
          <w:i/>
          <w:iCs/>
          <w:szCs w:val="24"/>
        </w:rPr>
        <w:t>Journal of Violence Against Women, 27</w:t>
      </w:r>
      <w:r w:rsidRPr="00146CBF">
        <w:rPr>
          <w:szCs w:val="24"/>
        </w:rPr>
        <w:t>(14), 2687–2708. https://doi.org/10.1177/1077801220971352</w:t>
      </w:r>
    </w:p>
    <w:p w14:paraId="5FC495DE" w14:textId="77777777" w:rsidR="00146CBF" w:rsidRPr="00146CBF" w:rsidRDefault="00146CBF" w:rsidP="00D647BB">
      <w:pPr>
        <w:pStyle w:val="BodyText"/>
        <w:ind w:left="720" w:hanging="720"/>
        <w:contextualSpacing/>
        <w:jc w:val="left"/>
        <w:rPr>
          <w:szCs w:val="24"/>
        </w:rPr>
      </w:pPr>
      <w:r w:rsidRPr="00146CBF">
        <w:rPr>
          <w:szCs w:val="24"/>
        </w:rPr>
        <w:t>Taylor, A., Ibrahim, N., Lovatt, H., Wakefield, S., Cheyne, N., &amp; Finn, K. (2017</w:t>
      </w:r>
      <w:r w:rsidRPr="00146CBF">
        <w:rPr>
          <w:i/>
          <w:iCs/>
          <w:szCs w:val="24"/>
        </w:rPr>
        <w:t>). Domestic and family violence protection orders in Australia: An investigation of information-sharing and enforcement with a focus on interstate orders: Final report</w:t>
      </w:r>
      <w:r w:rsidRPr="00146CBF">
        <w:rPr>
          <w:szCs w:val="24"/>
        </w:rPr>
        <w:t>. ANROWS Horizons. https://www.anrows.org.au/publication/domestic-and-family-violence-protection-orders-in-australia-an-investigation-of-information-sharing-and-enforcement-with-a-focus-on-interstate-orders-final-report/</w:t>
      </w:r>
    </w:p>
    <w:p w14:paraId="13B65E49" w14:textId="501BE0A3" w:rsidR="00146CBF" w:rsidRPr="00146CBF" w:rsidRDefault="00146CBF" w:rsidP="00D647BB">
      <w:pPr>
        <w:pStyle w:val="BodyText"/>
        <w:ind w:left="720" w:hanging="720"/>
        <w:contextualSpacing/>
        <w:jc w:val="left"/>
        <w:rPr>
          <w:szCs w:val="24"/>
        </w:rPr>
      </w:pPr>
      <w:r w:rsidRPr="00146CBF">
        <w:rPr>
          <w:szCs w:val="24"/>
        </w:rPr>
        <w:t xml:space="preserve">Toronto, C. E., &amp; Remington, R. (2020). </w:t>
      </w:r>
      <w:r w:rsidRPr="00146CBF">
        <w:rPr>
          <w:i/>
          <w:iCs/>
          <w:szCs w:val="24"/>
        </w:rPr>
        <w:t xml:space="preserve">A step-by-step guide to conducting an integrative review. </w:t>
      </w:r>
      <w:r w:rsidRPr="00146CBF">
        <w:rPr>
          <w:szCs w:val="24"/>
        </w:rPr>
        <w:t xml:space="preserve">Springer. </w:t>
      </w:r>
    </w:p>
    <w:p w14:paraId="564BDAEE" w14:textId="77777777" w:rsidR="00146CBF" w:rsidRPr="00146CBF" w:rsidRDefault="00146CBF" w:rsidP="00D647BB">
      <w:pPr>
        <w:pStyle w:val="BodyText"/>
        <w:ind w:left="720" w:hanging="720"/>
        <w:contextualSpacing/>
        <w:jc w:val="left"/>
        <w:rPr>
          <w:szCs w:val="24"/>
        </w:rPr>
      </w:pPr>
      <w:r w:rsidRPr="00146CBF">
        <w:rPr>
          <w:szCs w:val="24"/>
        </w:rPr>
        <w:t xml:space="preserve">Truong, M., Sharif, M., Olsen, A., </w:t>
      </w:r>
      <w:proofErr w:type="spellStart"/>
      <w:r w:rsidRPr="00146CBF">
        <w:rPr>
          <w:szCs w:val="24"/>
        </w:rPr>
        <w:t>Pasalich</w:t>
      </w:r>
      <w:proofErr w:type="spellEnd"/>
      <w:r w:rsidRPr="00146CBF">
        <w:rPr>
          <w:szCs w:val="24"/>
        </w:rPr>
        <w:t>, D., Calabria, B., &amp; Priest, N. (2022). Attitudes and beliefs about family and domestic violence in faith‐based communities: an exploratory qualitative study. </w:t>
      </w:r>
      <w:r w:rsidRPr="00146CBF">
        <w:rPr>
          <w:i/>
          <w:iCs/>
          <w:szCs w:val="24"/>
        </w:rPr>
        <w:t>Australian Journal of Social Issues</w:t>
      </w:r>
      <w:r w:rsidRPr="00146CBF">
        <w:rPr>
          <w:szCs w:val="24"/>
        </w:rPr>
        <w:t xml:space="preserve"> Mar2022, P1. https://doi-org.ezproxy.ecu.edu.au/10.1002/ajs4.210.</w:t>
      </w:r>
    </w:p>
    <w:p w14:paraId="371AB015" w14:textId="4A5E7D93" w:rsidR="00146CBF" w:rsidRPr="00146CBF" w:rsidRDefault="00146CBF" w:rsidP="00D647BB">
      <w:pPr>
        <w:pStyle w:val="BodyText"/>
        <w:ind w:left="720" w:hanging="720"/>
        <w:contextualSpacing/>
        <w:jc w:val="left"/>
        <w:rPr>
          <w:szCs w:val="24"/>
        </w:rPr>
      </w:pPr>
      <w:r w:rsidRPr="00146CBF">
        <w:rPr>
          <w:szCs w:val="24"/>
        </w:rPr>
        <w:t>Turner, S., &amp; Walsh, D.A. (2020). '</w:t>
      </w:r>
      <w:r w:rsidR="006805D9">
        <w:rPr>
          <w:szCs w:val="24"/>
        </w:rPr>
        <w:t>T</w:t>
      </w:r>
      <w:r w:rsidRPr="00146CBF">
        <w:rPr>
          <w:szCs w:val="24"/>
        </w:rPr>
        <w:t>hey don't help, they hinder': intersections between domestic and family violence specialist practitioners and external agencies. </w:t>
      </w:r>
      <w:r w:rsidRPr="00146CBF">
        <w:rPr>
          <w:i/>
          <w:iCs/>
          <w:szCs w:val="24"/>
        </w:rPr>
        <w:t>Advances in Social Work and Welfare Education</w:t>
      </w:r>
      <w:r w:rsidRPr="00146CBF">
        <w:rPr>
          <w:szCs w:val="24"/>
        </w:rPr>
        <w:t>, </w:t>
      </w:r>
      <w:r w:rsidRPr="00146CBF">
        <w:rPr>
          <w:i/>
          <w:iCs/>
          <w:szCs w:val="24"/>
        </w:rPr>
        <w:t>22</w:t>
      </w:r>
      <w:r w:rsidRPr="00146CBF">
        <w:rPr>
          <w:szCs w:val="24"/>
        </w:rPr>
        <w:t>(1), 122–137.</w:t>
      </w:r>
    </w:p>
    <w:p w14:paraId="15E1E462" w14:textId="77777777" w:rsidR="00146CBF" w:rsidRPr="00146CBF" w:rsidRDefault="00146CBF" w:rsidP="00D647BB">
      <w:pPr>
        <w:pStyle w:val="BodyText"/>
        <w:ind w:left="720" w:hanging="720"/>
        <w:contextualSpacing/>
        <w:jc w:val="left"/>
        <w:rPr>
          <w:szCs w:val="24"/>
        </w:rPr>
      </w:pPr>
      <w:r w:rsidRPr="00146CBF">
        <w:rPr>
          <w:szCs w:val="24"/>
        </w:rPr>
        <w:t xml:space="preserve">Wang, D., Everett, B., </w:t>
      </w:r>
      <w:proofErr w:type="spellStart"/>
      <w:r w:rsidRPr="00146CBF">
        <w:rPr>
          <w:szCs w:val="24"/>
        </w:rPr>
        <w:t>Northall</w:t>
      </w:r>
      <w:proofErr w:type="spellEnd"/>
      <w:r w:rsidRPr="00146CBF">
        <w:rPr>
          <w:szCs w:val="24"/>
        </w:rPr>
        <w:t xml:space="preserve">, T., Villarosa, A. R., &amp; </w:t>
      </w:r>
      <w:proofErr w:type="spellStart"/>
      <w:r w:rsidRPr="00146CBF">
        <w:rPr>
          <w:szCs w:val="24"/>
        </w:rPr>
        <w:t>Salamonson</w:t>
      </w:r>
      <w:proofErr w:type="spellEnd"/>
      <w:r w:rsidRPr="00146CBF">
        <w:rPr>
          <w:szCs w:val="24"/>
        </w:rPr>
        <w:t xml:space="preserve">, Y. (2018). Access to food choices by older people in residential aged care: an integrative review. </w:t>
      </w:r>
      <w:r w:rsidRPr="00146CBF">
        <w:rPr>
          <w:i/>
          <w:iCs/>
          <w:szCs w:val="24"/>
        </w:rPr>
        <w:t>Collegian, 25</w:t>
      </w:r>
      <w:r w:rsidRPr="00146CBF">
        <w:rPr>
          <w:szCs w:val="24"/>
        </w:rPr>
        <w:t xml:space="preserve">(4), 457–465. https://doi.org/10.1016/j.colegn.2017.11.004. </w:t>
      </w:r>
    </w:p>
    <w:p w14:paraId="00594087" w14:textId="73BB9122" w:rsidR="000239DE" w:rsidRPr="004F0F01" w:rsidRDefault="00146CBF" w:rsidP="00D647BB">
      <w:pPr>
        <w:pStyle w:val="BodyText"/>
        <w:ind w:left="720" w:hanging="720"/>
        <w:contextualSpacing/>
        <w:jc w:val="left"/>
      </w:pPr>
      <w:r w:rsidRPr="00146CBF">
        <w:rPr>
          <w:szCs w:val="24"/>
        </w:rPr>
        <w:t xml:space="preserve">Whittemore, R., Chao, A., Jang, M., Minges, K. E., &amp; Park, C. (2014). Methods for knowledge synthesis: An overview. </w:t>
      </w:r>
      <w:r w:rsidRPr="00146CBF">
        <w:rPr>
          <w:i/>
          <w:iCs/>
          <w:szCs w:val="24"/>
        </w:rPr>
        <w:t>Heart &amp; Lung, 43</w:t>
      </w:r>
      <w:r w:rsidRPr="00146CBF">
        <w:rPr>
          <w:szCs w:val="24"/>
        </w:rPr>
        <w:t>(5), 453-461. https://doin.org/10.1016/j.hrtlng.2014.05.014</w:t>
      </w:r>
      <w:r w:rsidR="00930E1F">
        <w:rPr>
          <w:szCs w:val="24"/>
        </w:rPr>
        <w:t>.</w:t>
      </w:r>
    </w:p>
    <w:sectPr w:rsidR="000239DE" w:rsidRPr="004F0F01" w:rsidSect="00D901B9">
      <w:footerReference w:type="even" r:id="rId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F3B2" w14:textId="77777777" w:rsidR="001F69AE" w:rsidRDefault="001F69AE" w:rsidP="009D7635">
      <w:pPr>
        <w:spacing w:after="0" w:line="240" w:lineRule="auto"/>
      </w:pPr>
      <w:r>
        <w:separator/>
      </w:r>
    </w:p>
  </w:endnote>
  <w:endnote w:type="continuationSeparator" w:id="0">
    <w:p w14:paraId="7C2DDDB9" w14:textId="77777777" w:rsidR="001F69AE" w:rsidRDefault="001F69AE" w:rsidP="009D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5618169"/>
      <w:docPartObj>
        <w:docPartGallery w:val="Page Numbers (Bottom of Page)"/>
        <w:docPartUnique/>
      </w:docPartObj>
    </w:sdtPr>
    <w:sdtEndPr>
      <w:rPr>
        <w:rStyle w:val="PageNumber"/>
      </w:rPr>
    </w:sdtEndPr>
    <w:sdtContent>
      <w:p w14:paraId="5B2F40C1" w14:textId="5281BFF5" w:rsidR="00D901B9" w:rsidRDefault="00D901B9" w:rsidP="00AE1A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D15ED0" w14:textId="77777777" w:rsidR="00D901B9" w:rsidRDefault="00D9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926455"/>
      <w:docPartObj>
        <w:docPartGallery w:val="Page Numbers (Bottom of Page)"/>
        <w:docPartUnique/>
      </w:docPartObj>
    </w:sdtPr>
    <w:sdtEndPr>
      <w:rPr>
        <w:rStyle w:val="PageNumber"/>
      </w:rPr>
    </w:sdtEndPr>
    <w:sdtContent>
      <w:p w14:paraId="1380F3D6" w14:textId="382359C4" w:rsidR="00D901B9" w:rsidRDefault="00D901B9" w:rsidP="00AE1A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5A0E7A" w14:textId="7FAADF10" w:rsidR="009D7635" w:rsidRDefault="009D7635">
    <w:pPr>
      <w:pStyle w:val="Footer"/>
      <w:jc w:val="center"/>
    </w:pPr>
  </w:p>
  <w:p w14:paraId="092519AD" w14:textId="77777777" w:rsidR="009D7635" w:rsidRDefault="009D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0DDE" w14:textId="77777777" w:rsidR="001F69AE" w:rsidRDefault="001F69AE" w:rsidP="009D7635">
      <w:pPr>
        <w:spacing w:after="0" w:line="240" w:lineRule="auto"/>
      </w:pPr>
      <w:r>
        <w:separator/>
      </w:r>
    </w:p>
  </w:footnote>
  <w:footnote w:type="continuationSeparator" w:id="0">
    <w:p w14:paraId="23529450" w14:textId="77777777" w:rsidR="001F69AE" w:rsidRDefault="001F69AE" w:rsidP="009D76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A7"/>
    <w:rsid w:val="00003CFE"/>
    <w:rsid w:val="00003F86"/>
    <w:rsid w:val="00004028"/>
    <w:rsid w:val="00005E31"/>
    <w:rsid w:val="00006563"/>
    <w:rsid w:val="0000773D"/>
    <w:rsid w:val="000132CC"/>
    <w:rsid w:val="00013F49"/>
    <w:rsid w:val="00017A00"/>
    <w:rsid w:val="00017AB7"/>
    <w:rsid w:val="000239DE"/>
    <w:rsid w:val="000244C4"/>
    <w:rsid w:val="00025C17"/>
    <w:rsid w:val="000273B8"/>
    <w:rsid w:val="000301D7"/>
    <w:rsid w:val="00035149"/>
    <w:rsid w:val="00037BFD"/>
    <w:rsid w:val="0004339E"/>
    <w:rsid w:val="00044886"/>
    <w:rsid w:val="00044C05"/>
    <w:rsid w:val="0004508E"/>
    <w:rsid w:val="00045649"/>
    <w:rsid w:val="00046AF5"/>
    <w:rsid w:val="00050143"/>
    <w:rsid w:val="00052F5A"/>
    <w:rsid w:val="000548B4"/>
    <w:rsid w:val="000558EF"/>
    <w:rsid w:val="00060DC1"/>
    <w:rsid w:val="00065A6A"/>
    <w:rsid w:val="00066C23"/>
    <w:rsid w:val="000678BB"/>
    <w:rsid w:val="000711FE"/>
    <w:rsid w:val="0007557E"/>
    <w:rsid w:val="0007653E"/>
    <w:rsid w:val="00076A31"/>
    <w:rsid w:val="000779C9"/>
    <w:rsid w:val="00081385"/>
    <w:rsid w:val="000837EC"/>
    <w:rsid w:val="0009145C"/>
    <w:rsid w:val="000944B8"/>
    <w:rsid w:val="000A015D"/>
    <w:rsid w:val="000A03E6"/>
    <w:rsid w:val="000A0E57"/>
    <w:rsid w:val="000A1709"/>
    <w:rsid w:val="000A38DB"/>
    <w:rsid w:val="000B0D86"/>
    <w:rsid w:val="000B14EA"/>
    <w:rsid w:val="000B2768"/>
    <w:rsid w:val="000B3E49"/>
    <w:rsid w:val="000B5464"/>
    <w:rsid w:val="000B59CE"/>
    <w:rsid w:val="000B7E26"/>
    <w:rsid w:val="000C40D9"/>
    <w:rsid w:val="000C7FD0"/>
    <w:rsid w:val="000D2733"/>
    <w:rsid w:val="000D278A"/>
    <w:rsid w:val="000D3063"/>
    <w:rsid w:val="000D3A15"/>
    <w:rsid w:val="000E03FD"/>
    <w:rsid w:val="000E296B"/>
    <w:rsid w:val="000E4D66"/>
    <w:rsid w:val="000E4D72"/>
    <w:rsid w:val="000F1C7F"/>
    <w:rsid w:val="000F1F2B"/>
    <w:rsid w:val="000F22FA"/>
    <w:rsid w:val="000F31A7"/>
    <w:rsid w:val="000F386E"/>
    <w:rsid w:val="000F3E31"/>
    <w:rsid w:val="000F3F07"/>
    <w:rsid w:val="000F5085"/>
    <w:rsid w:val="00101422"/>
    <w:rsid w:val="00101EE5"/>
    <w:rsid w:val="001042AF"/>
    <w:rsid w:val="00105B7D"/>
    <w:rsid w:val="0010653F"/>
    <w:rsid w:val="001065B5"/>
    <w:rsid w:val="00107743"/>
    <w:rsid w:val="001109BB"/>
    <w:rsid w:val="00113CBF"/>
    <w:rsid w:val="00114C03"/>
    <w:rsid w:val="00122982"/>
    <w:rsid w:val="0012670A"/>
    <w:rsid w:val="0012784F"/>
    <w:rsid w:val="0012795B"/>
    <w:rsid w:val="00133CB9"/>
    <w:rsid w:val="00134B5B"/>
    <w:rsid w:val="00140365"/>
    <w:rsid w:val="00143EB7"/>
    <w:rsid w:val="0014472E"/>
    <w:rsid w:val="001460A2"/>
    <w:rsid w:val="001469C8"/>
    <w:rsid w:val="00146CBF"/>
    <w:rsid w:val="00146F7C"/>
    <w:rsid w:val="00150D2A"/>
    <w:rsid w:val="0015103D"/>
    <w:rsid w:val="00153D5E"/>
    <w:rsid w:val="00154B81"/>
    <w:rsid w:val="00160337"/>
    <w:rsid w:val="00160766"/>
    <w:rsid w:val="00161D8D"/>
    <w:rsid w:val="001649FE"/>
    <w:rsid w:val="00167092"/>
    <w:rsid w:val="001672FA"/>
    <w:rsid w:val="0017180B"/>
    <w:rsid w:val="00171EFC"/>
    <w:rsid w:val="00172B88"/>
    <w:rsid w:val="00174BC8"/>
    <w:rsid w:val="00176086"/>
    <w:rsid w:val="00176E0E"/>
    <w:rsid w:val="00185B12"/>
    <w:rsid w:val="0018727D"/>
    <w:rsid w:val="0019238B"/>
    <w:rsid w:val="00195343"/>
    <w:rsid w:val="001954E4"/>
    <w:rsid w:val="00195C94"/>
    <w:rsid w:val="00197893"/>
    <w:rsid w:val="001978BB"/>
    <w:rsid w:val="001A13D5"/>
    <w:rsid w:val="001A2C11"/>
    <w:rsid w:val="001A6EE5"/>
    <w:rsid w:val="001A6FE6"/>
    <w:rsid w:val="001B1BDA"/>
    <w:rsid w:val="001C28F0"/>
    <w:rsid w:val="001C2AC2"/>
    <w:rsid w:val="001C58EF"/>
    <w:rsid w:val="001D469F"/>
    <w:rsid w:val="001D5B16"/>
    <w:rsid w:val="001D787D"/>
    <w:rsid w:val="001E13CD"/>
    <w:rsid w:val="001E1D90"/>
    <w:rsid w:val="001E7407"/>
    <w:rsid w:val="001F654A"/>
    <w:rsid w:val="001F6729"/>
    <w:rsid w:val="001F69AE"/>
    <w:rsid w:val="001F6D54"/>
    <w:rsid w:val="001F7AD0"/>
    <w:rsid w:val="002003DB"/>
    <w:rsid w:val="00204336"/>
    <w:rsid w:val="00204BBC"/>
    <w:rsid w:val="00204D63"/>
    <w:rsid w:val="00205552"/>
    <w:rsid w:val="002101E9"/>
    <w:rsid w:val="00211712"/>
    <w:rsid w:val="00216DF1"/>
    <w:rsid w:val="002178A3"/>
    <w:rsid w:val="00220DA1"/>
    <w:rsid w:val="002221FF"/>
    <w:rsid w:val="00223DBD"/>
    <w:rsid w:val="00224D2D"/>
    <w:rsid w:val="00230656"/>
    <w:rsid w:val="00231BA9"/>
    <w:rsid w:val="00232541"/>
    <w:rsid w:val="00232BDB"/>
    <w:rsid w:val="002353D8"/>
    <w:rsid w:val="00236B88"/>
    <w:rsid w:val="002371E9"/>
    <w:rsid w:val="00237354"/>
    <w:rsid w:val="00237A51"/>
    <w:rsid w:val="00244F86"/>
    <w:rsid w:val="0024540A"/>
    <w:rsid w:val="002454BE"/>
    <w:rsid w:val="00247376"/>
    <w:rsid w:val="00250395"/>
    <w:rsid w:val="0025361B"/>
    <w:rsid w:val="00257404"/>
    <w:rsid w:val="00257E17"/>
    <w:rsid w:val="002617C1"/>
    <w:rsid w:val="00262705"/>
    <w:rsid w:val="00265EA2"/>
    <w:rsid w:val="00265EFA"/>
    <w:rsid w:val="00266286"/>
    <w:rsid w:val="002666DF"/>
    <w:rsid w:val="00270E0B"/>
    <w:rsid w:val="00273819"/>
    <w:rsid w:val="00273A6E"/>
    <w:rsid w:val="00273C8D"/>
    <w:rsid w:val="00273F9E"/>
    <w:rsid w:val="00274A1F"/>
    <w:rsid w:val="00275BE8"/>
    <w:rsid w:val="00275F0C"/>
    <w:rsid w:val="00276CEE"/>
    <w:rsid w:val="00277FF7"/>
    <w:rsid w:val="00280A55"/>
    <w:rsid w:val="00280DC1"/>
    <w:rsid w:val="002872E3"/>
    <w:rsid w:val="00290B37"/>
    <w:rsid w:val="00291B1E"/>
    <w:rsid w:val="0029610A"/>
    <w:rsid w:val="002975C1"/>
    <w:rsid w:val="00297B13"/>
    <w:rsid w:val="002A1A91"/>
    <w:rsid w:val="002B1DD1"/>
    <w:rsid w:val="002B29C6"/>
    <w:rsid w:val="002B40A7"/>
    <w:rsid w:val="002B5DB7"/>
    <w:rsid w:val="002C1AA0"/>
    <w:rsid w:val="002C50D6"/>
    <w:rsid w:val="002C6162"/>
    <w:rsid w:val="002C6477"/>
    <w:rsid w:val="002C66CA"/>
    <w:rsid w:val="002D00D7"/>
    <w:rsid w:val="002D0380"/>
    <w:rsid w:val="002D2469"/>
    <w:rsid w:val="002D4754"/>
    <w:rsid w:val="002E1EF3"/>
    <w:rsid w:val="002E347F"/>
    <w:rsid w:val="002F06A0"/>
    <w:rsid w:val="002F412A"/>
    <w:rsid w:val="002F4FF5"/>
    <w:rsid w:val="002F5ED2"/>
    <w:rsid w:val="002F5F99"/>
    <w:rsid w:val="003006E7"/>
    <w:rsid w:val="00301353"/>
    <w:rsid w:val="00306219"/>
    <w:rsid w:val="003101F9"/>
    <w:rsid w:val="00315CD5"/>
    <w:rsid w:val="003202E4"/>
    <w:rsid w:val="00320E68"/>
    <w:rsid w:val="00325BF0"/>
    <w:rsid w:val="003269B5"/>
    <w:rsid w:val="003303EB"/>
    <w:rsid w:val="0033192A"/>
    <w:rsid w:val="00331AF5"/>
    <w:rsid w:val="00333EBB"/>
    <w:rsid w:val="003341AC"/>
    <w:rsid w:val="00343F7E"/>
    <w:rsid w:val="0034462D"/>
    <w:rsid w:val="0035020F"/>
    <w:rsid w:val="00351283"/>
    <w:rsid w:val="00351996"/>
    <w:rsid w:val="003520E7"/>
    <w:rsid w:val="003525C0"/>
    <w:rsid w:val="003529CF"/>
    <w:rsid w:val="0035327C"/>
    <w:rsid w:val="00354909"/>
    <w:rsid w:val="00357CEF"/>
    <w:rsid w:val="00362761"/>
    <w:rsid w:val="003634EC"/>
    <w:rsid w:val="00363EA0"/>
    <w:rsid w:val="00365F84"/>
    <w:rsid w:val="00366F9B"/>
    <w:rsid w:val="00372218"/>
    <w:rsid w:val="00372474"/>
    <w:rsid w:val="00372B5B"/>
    <w:rsid w:val="00372F7C"/>
    <w:rsid w:val="00375F74"/>
    <w:rsid w:val="00377609"/>
    <w:rsid w:val="00381EBC"/>
    <w:rsid w:val="00384BB1"/>
    <w:rsid w:val="00387093"/>
    <w:rsid w:val="00392CBB"/>
    <w:rsid w:val="00395DC2"/>
    <w:rsid w:val="00396B2E"/>
    <w:rsid w:val="003A07B7"/>
    <w:rsid w:val="003A17D7"/>
    <w:rsid w:val="003A2878"/>
    <w:rsid w:val="003A69D8"/>
    <w:rsid w:val="003A7E6C"/>
    <w:rsid w:val="003B081E"/>
    <w:rsid w:val="003B0BA8"/>
    <w:rsid w:val="003B104C"/>
    <w:rsid w:val="003B127F"/>
    <w:rsid w:val="003B5307"/>
    <w:rsid w:val="003B651E"/>
    <w:rsid w:val="003B74EB"/>
    <w:rsid w:val="003B75A0"/>
    <w:rsid w:val="003C0519"/>
    <w:rsid w:val="003C3995"/>
    <w:rsid w:val="003C46E8"/>
    <w:rsid w:val="003D1DDE"/>
    <w:rsid w:val="003D3EE6"/>
    <w:rsid w:val="003D4C0E"/>
    <w:rsid w:val="003D6544"/>
    <w:rsid w:val="003E18AB"/>
    <w:rsid w:val="003F140D"/>
    <w:rsid w:val="003F4FD9"/>
    <w:rsid w:val="00401287"/>
    <w:rsid w:val="0040274B"/>
    <w:rsid w:val="00403545"/>
    <w:rsid w:val="0040717F"/>
    <w:rsid w:val="00411C35"/>
    <w:rsid w:val="00413D65"/>
    <w:rsid w:val="00414610"/>
    <w:rsid w:val="00416A1E"/>
    <w:rsid w:val="00416F13"/>
    <w:rsid w:val="00420533"/>
    <w:rsid w:val="00420CA5"/>
    <w:rsid w:val="004216F3"/>
    <w:rsid w:val="00421CD4"/>
    <w:rsid w:val="0042204D"/>
    <w:rsid w:val="00424D0F"/>
    <w:rsid w:val="00427439"/>
    <w:rsid w:val="004274D1"/>
    <w:rsid w:val="004279A9"/>
    <w:rsid w:val="00432297"/>
    <w:rsid w:val="0044038E"/>
    <w:rsid w:val="00440595"/>
    <w:rsid w:val="00440AA6"/>
    <w:rsid w:val="00441F16"/>
    <w:rsid w:val="004535AA"/>
    <w:rsid w:val="00453A5D"/>
    <w:rsid w:val="004548FA"/>
    <w:rsid w:val="0045789C"/>
    <w:rsid w:val="004773F9"/>
    <w:rsid w:val="00477F7E"/>
    <w:rsid w:val="00481673"/>
    <w:rsid w:val="00481C41"/>
    <w:rsid w:val="004842DD"/>
    <w:rsid w:val="00485245"/>
    <w:rsid w:val="00486677"/>
    <w:rsid w:val="00487A4D"/>
    <w:rsid w:val="0049025D"/>
    <w:rsid w:val="00494B90"/>
    <w:rsid w:val="00497285"/>
    <w:rsid w:val="004977D9"/>
    <w:rsid w:val="00497A8F"/>
    <w:rsid w:val="00497E41"/>
    <w:rsid w:val="004A2202"/>
    <w:rsid w:val="004A24CC"/>
    <w:rsid w:val="004A7230"/>
    <w:rsid w:val="004B0BD7"/>
    <w:rsid w:val="004B274D"/>
    <w:rsid w:val="004B48EA"/>
    <w:rsid w:val="004B5393"/>
    <w:rsid w:val="004B58CA"/>
    <w:rsid w:val="004B6D76"/>
    <w:rsid w:val="004C117C"/>
    <w:rsid w:val="004C6DBC"/>
    <w:rsid w:val="004C6E31"/>
    <w:rsid w:val="004C7624"/>
    <w:rsid w:val="004D0A35"/>
    <w:rsid w:val="004D0D07"/>
    <w:rsid w:val="004D1405"/>
    <w:rsid w:val="004D27F9"/>
    <w:rsid w:val="004D39D4"/>
    <w:rsid w:val="004D444E"/>
    <w:rsid w:val="004D4BBF"/>
    <w:rsid w:val="004E1215"/>
    <w:rsid w:val="004E17E1"/>
    <w:rsid w:val="004E2E26"/>
    <w:rsid w:val="004E5850"/>
    <w:rsid w:val="004E6338"/>
    <w:rsid w:val="004E65CB"/>
    <w:rsid w:val="004E7F12"/>
    <w:rsid w:val="004F0F01"/>
    <w:rsid w:val="004F151B"/>
    <w:rsid w:val="004F71FA"/>
    <w:rsid w:val="004F7E48"/>
    <w:rsid w:val="0050165E"/>
    <w:rsid w:val="005078C6"/>
    <w:rsid w:val="005150D8"/>
    <w:rsid w:val="005178B0"/>
    <w:rsid w:val="00517E50"/>
    <w:rsid w:val="0052018F"/>
    <w:rsid w:val="00522519"/>
    <w:rsid w:val="00522BB5"/>
    <w:rsid w:val="00523A12"/>
    <w:rsid w:val="00523E14"/>
    <w:rsid w:val="0052496D"/>
    <w:rsid w:val="00524E6F"/>
    <w:rsid w:val="00527A7A"/>
    <w:rsid w:val="00527C6D"/>
    <w:rsid w:val="00527D4E"/>
    <w:rsid w:val="00531451"/>
    <w:rsid w:val="005314BD"/>
    <w:rsid w:val="0053243E"/>
    <w:rsid w:val="005325F9"/>
    <w:rsid w:val="00533A0C"/>
    <w:rsid w:val="00533D02"/>
    <w:rsid w:val="005350DD"/>
    <w:rsid w:val="00536BFD"/>
    <w:rsid w:val="00537DF0"/>
    <w:rsid w:val="00537EDB"/>
    <w:rsid w:val="00541CB9"/>
    <w:rsid w:val="00542855"/>
    <w:rsid w:val="0054429B"/>
    <w:rsid w:val="00547601"/>
    <w:rsid w:val="00550811"/>
    <w:rsid w:val="00554D67"/>
    <w:rsid w:val="00555B3C"/>
    <w:rsid w:val="00556B47"/>
    <w:rsid w:val="005574F1"/>
    <w:rsid w:val="005610FE"/>
    <w:rsid w:val="00561DE4"/>
    <w:rsid w:val="00564402"/>
    <w:rsid w:val="005652B5"/>
    <w:rsid w:val="00565DC7"/>
    <w:rsid w:val="005662A4"/>
    <w:rsid w:val="005679DA"/>
    <w:rsid w:val="00571D9E"/>
    <w:rsid w:val="005738EC"/>
    <w:rsid w:val="00574330"/>
    <w:rsid w:val="00575109"/>
    <w:rsid w:val="00575ADF"/>
    <w:rsid w:val="00576F52"/>
    <w:rsid w:val="0058136F"/>
    <w:rsid w:val="00581515"/>
    <w:rsid w:val="00586D20"/>
    <w:rsid w:val="00587967"/>
    <w:rsid w:val="00593111"/>
    <w:rsid w:val="00595A28"/>
    <w:rsid w:val="00596909"/>
    <w:rsid w:val="005A0272"/>
    <w:rsid w:val="005A3BA4"/>
    <w:rsid w:val="005A748E"/>
    <w:rsid w:val="005B2400"/>
    <w:rsid w:val="005B4656"/>
    <w:rsid w:val="005B71FE"/>
    <w:rsid w:val="005C125A"/>
    <w:rsid w:val="005D0B9A"/>
    <w:rsid w:val="005D19E3"/>
    <w:rsid w:val="005D5272"/>
    <w:rsid w:val="005D624F"/>
    <w:rsid w:val="005D7774"/>
    <w:rsid w:val="005E03FF"/>
    <w:rsid w:val="005E14B5"/>
    <w:rsid w:val="005E415C"/>
    <w:rsid w:val="005E46C4"/>
    <w:rsid w:val="005E5BBE"/>
    <w:rsid w:val="005E6CB7"/>
    <w:rsid w:val="005E6F06"/>
    <w:rsid w:val="005F0DEF"/>
    <w:rsid w:val="00600319"/>
    <w:rsid w:val="00600D7C"/>
    <w:rsid w:val="00605A80"/>
    <w:rsid w:val="00607ED5"/>
    <w:rsid w:val="00623F61"/>
    <w:rsid w:val="00625555"/>
    <w:rsid w:val="00625D3F"/>
    <w:rsid w:val="00627B6A"/>
    <w:rsid w:val="00627C86"/>
    <w:rsid w:val="006358DA"/>
    <w:rsid w:val="00636065"/>
    <w:rsid w:val="00637674"/>
    <w:rsid w:val="00637EB0"/>
    <w:rsid w:val="0064002E"/>
    <w:rsid w:val="00642EA6"/>
    <w:rsid w:val="006439C7"/>
    <w:rsid w:val="006440CF"/>
    <w:rsid w:val="00644F90"/>
    <w:rsid w:val="00646B4C"/>
    <w:rsid w:val="00650FA8"/>
    <w:rsid w:val="00651DEF"/>
    <w:rsid w:val="00667A5C"/>
    <w:rsid w:val="0067264D"/>
    <w:rsid w:val="00673480"/>
    <w:rsid w:val="00674490"/>
    <w:rsid w:val="00674F4C"/>
    <w:rsid w:val="0067658B"/>
    <w:rsid w:val="00676661"/>
    <w:rsid w:val="006766C9"/>
    <w:rsid w:val="0067792F"/>
    <w:rsid w:val="006805D9"/>
    <w:rsid w:val="00681FB0"/>
    <w:rsid w:val="00682400"/>
    <w:rsid w:val="00685F81"/>
    <w:rsid w:val="00685FEE"/>
    <w:rsid w:val="00686A9E"/>
    <w:rsid w:val="00686FFA"/>
    <w:rsid w:val="0068737F"/>
    <w:rsid w:val="00690799"/>
    <w:rsid w:val="00690C07"/>
    <w:rsid w:val="00691F0E"/>
    <w:rsid w:val="0069300D"/>
    <w:rsid w:val="006932DA"/>
    <w:rsid w:val="00693B15"/>
    <w:rsid w:val="00696FA8"/>
    <w:rsid w:val="006A1017"/>
    <w:rsid w:val="006A3D30"/>
    <w:rsid w:val="006A5950"/>
    <w:rsid w:val="006A7DFF"/>
    <w:rsid w:val="006B20F4"/>
    <w:rsid w:val="006B2DA4"/>
    <w:rsid w:val="006C21C5"/>
    <w:rsid w:val="006C2D1D"/>
    <w:rsid w:val="006C31CF"/>
    <w:rsid w:val="006C49AB"/>
    <w:rsid w:val="006C5B96"/>
    <w:rsid w:val="006C6F76"/>
    <w:rsid w:val="006C7166"/>
    <w:rsid w:val="006C762D"/>
    <w:rsid w:val="006C7958"/>
    <w:rsid w:val="006D042F"/>
    <w:rsid w:val="006D1B9D"/>
    <w:rsid w:val="006D3720"/>
    <w:rsid w:val="006D470F"/>
    <w:rsid w:val="006D4D75"/>
    <w:rsid w:val="006D65E4"/>
    <w:rsid w:val="006E1216"/>
    <w:rsid w:val="006E22F8"/>
    <w:rsid w:val="006E4647"/>
    <w:rsid w:val="006E5910"/>
    <w:rsid w:val="006E678A"/>
    <w:rsid w:val="006F19B0"/>
    <w:rsid w:val="006F64CE"/>
    <w:rsid w:val="006F7B82"/>
    <w:rsid w:val="006F7CE9"/>
    <w:rsid w:val="006F7FA0"/>
    <w:rsid w:val="00701CD5"/>
    <w:rsid w:val="0070201C"/>
    <w:rsid w:val="0070216E"/>
    <w:rsid w:val="007067C9"/>
    <w:rsid w:val="0070699B"/>
    <w:rsid w:val="0071018D"/>
    <w:rsid w:val="00710B3D"/>
    <w:rsid w:val="00712AF1"/>
    <w:rsid w:val="00715583"/>
    <w:rsid w:val="00717557"/>
    <w:rsid w:val="00717585"/>
    <w:rsid w:val="00720682"/>
    <w:rsid w:val="00721F4A"/>
    <w:rsid w:val="0072269B"/>
    <w:rsid w:val="00722ADC"/>
    <w:rsid w:val="0072586D"/>
    <w:rsid w:val="00726013"/>
    <w:rsid w:val="00727875"/>
    <w:rsid w:val="007313D7"/>
    <w:rsid w:val="007332E6"/>
    <w:rsid w:val="00746353"/>
    <w:rsid w:val="00747165"/>
    <w:rsid w:val="00752736"/>
    <w:rsid w:val="007527B2"/>
    <w:rsid w:val="00752850"/>
    <w:rsid w:val="00752E27"/>
    <w:rsid w:val="00752FBE"/>
    <w:rsid w:val="00753E7B"/>
    <w:rsid w:val="00761AA4"/>
    <w:rsid w:val="007621C5"/>
    <w:rsid w:val="0076353B"/>
    <w:rsid w:val="00765401"/>
    <w:rsid w:val="00765641"/>
    <w:rsid w:val="00765A8B"/>
    <w:rsid w:val="00767C19"/>
    <w:rsid w:val="00771841"/>
    <w:rsid w:val="00774F75"/>
    <w:rsid w:val="00777B29"/>
    <w:rsid w:val="00782BC8"/>
    <w:rsid w:val="00783AC5"/>
    <w:rsid w:val="0079008F"/>
    <w:rsid w:val="00790CAE"/>
    <w:rsid w:val="007939B5"/>
    <w:rsid w:val="00795B65"/>
    <w:rsid w:val="007A1A23"/>
    <w:rsid w:val="007A2FCD"/>
    <w:rsid w:val="007A60D8"/>
    <w:rsid w:val="007A7950"/>
    <w:rsid w:val="007A7E55"/>
    <w:rsid w:val="007B05CA"/>
    <w:rsid w:val="007B2D93"/>
    <w:rsid w:val="007B5E9F"/>
    <w:rsid w:val="007B5ED4"/>
    <w:rsid w:val="007C18C9"/>
    <w:rsid w:val="007C3EB4"/>
    <w:rsid w:val="007C43DE"/>
    <w:rsid w:val="007C5D87"/>
    <w:rsid w:val="007C6E35"/>
    <w:rsid w:val="007D199B"/>
    <w:rsid w:val="007D4231"/>
    <w:rsid w:val="007D56B5"/>
    <w:rsid w:val="007E01E2"/>
    <w:rsid w:val="007E0D2B"/>
    <w:rsid w:val="007E1711"/>
    <w:rsid w:val="007E25CA"/>
    <w:rsid w:val="007E3968"/>
    <w:rsid w:val="007E432E"/>
    <w:rsid w:val="007E5608"/>
    <w:rsid w:val="007E6A6E"/>
    <w:rsid w:val="007F6866"/>
    <w:rsid w:val="007F6FE4"/>
    <w:rsid w:val="0080452F"/>
    <w:rsid w:val="0080578F"/>
    <w:rsid w:val="00806043"/>
    <w:rsid w:val="008113FA"/>
    <w:rsid w:val="00813CFC"/>
    <w:rsid w:val="00817AB9"/>
    <w:rsid w:val="00821D67"/>
    <w:rsid w:val="00833055"/>
    <w:rsid w:val="00833720"/>
    <w:rsid w:val="008338A9"/>
    <w:rsid w:val="00840CB3"/>
    <w:rsid w:val="00844B44"/>
    <w:rsid w:val="008535A6"/>
    <w:rsid w:val="00853716"/>
    <w:rsid w:val="00856F0E"/>
    <w:rsid w:val="008601C6"/>
    <w:rsid w:val="00862009"/>
    <w:rsid w:val="00862ED0"/>
    <w:rsid w:val="008635F7"/>
    <w:rsid w:val="00863BD2"/>
    <w:rsid w:val="00866A9E"/>
    <w:rsid w:val="00866F53"/>
    <w:rsid w:val="008679F3"/>
    <w:rsid w:val="00867C81"/>
    <w:rsid w:val="00871772"/>
    <w:rsid w:val="00872D5B"/>
    <w:rsid w:val="008731AC"/>
    <w:rsid w:val="00877DDA"/>
    <w:rsid w:val="00883972"/>
    <w:rsid w:val="00884CFF"/>
    <w:rsid w:val="00885574"/>
    <w:rsid w:val="00886F30"/>
    <w:rsid w:val="00887E97"/>
    <w:rsid w:val="0089035C"/>
    <w:rsid w:val="00897184"/>
    <w:rsid w:val="00897890"/>
    <w:rsid w:val="008A097F"/>
    <w:rsid w:val="008A1807"/>
    <w:rsid w:val="008A1A02"/>
    <w:rsid w:val="008A2A81"/>
    <w:rsid w:val="008A3494"/>
    <w:rsid w:val="008B033C"/>
    <w:rsid w:val="008B2A11"/>
    <w:rsid w:val="008C438E"/>
    <w:rsid w:val="008C575E"/>
    <w:rsid w:val="008D4883"/>
    <w:rsid w:val="008D4E59"/>
    <w:rsid w:val="008D5041"/>
    <w:rsid w:val="008D5D39"/>
    <w:rsid w:val="008E1E63"/>
    <w:rsid w:val="008E2D0E"/>
    <w:rsid w:val="008E34E1"/>
    <w:rsid w:val="008E3FDC"/>
    <w:rsid w:val="008E5EA8"/>
    <w:rsid w:val="008E6A7F"/>
    <w:rsid w:val="008E6A9C"/>
    <w:rsid w:val="008E6B76"/>
    <w:rsid w:val="008F0946"/>
    <w:rsid w:val="008F0E72"/>
    <w:rsid w:val="008F7CA1"/>
    <w:rsid w:val="00901E38"/>
    <w:rsid w:val="0090437D"/>
    <w:rsid w:val="00905308"/>
    <w:rsid w:val="00905891"/>
    <w:rsid w:val="00911CE4"/>
    <w:rsid w:val="00912384"/>
    <w:rsid w:val="0091594A"/>
    <w:rsid w:val="0092035F"/>
    <w:rsid w:val="009216FF"/>
    <w:rsid w:val="00921F02"/>
    <w:rsid w:val="00925663"/>
    <w:rsid w:val="009262D6"/>
    <w:rsid w:val="00930E1F"/>
    <w:rsid w:val="00931895"/>
    <w:rsid w:val="00931EB9"/>
    <w:rsid w:val="00933F85"/>
    <w:rsid w:val="00935C4A"/>
    <w:rsid w:val="00936001"/>
    <w:rsid w:val="00944A4D"/>
    <w:rsid w:val="00944E46"/>
    <w:rsid w:val="00947F98"/>
    <w:rsid w:val="009501B1"/>
    <w:rsid w:val="00952677"/>
    <w:rsid w:val="00955571"/>
    <w:rsid w:val="0096063C"/>
    <w:rsid w:val="00960C0D"/>
    <w:rsid w:val="009632DB"/>
    <w:rsid w:val="00965721"/>
    <w:rsid w:val="00970282"/>
    <w:rsid w:val="009702F8"/>
    <w:rsid w:val="009711CB"/>
    <w:rsid w:val="00972BAE"/>
    <w:rsid w:val="00980826"/>
    <w:rsid w:val="00981754"/>
    <w:rsid w:val="009844E9"/>
    <w:rsid w:val="009924CF"/>
    <w:rsid w:val="0099673C"/>
    <w:rsid w:val="009975AD"/>
    <w:rsid w:val="00997797"/>
    <w:rsid w:val="009A0B7E"/>
    <w:rsid w:val="009A0F0E"/>
    <w:rsid w:val="009A3632"/>
    <w:rsid w:val="009A6F82"/>
    <w:rsid w:val="009A74DC"/>
    <w:rsid w:val="009B093C"/>
    <w:rsid w:val="009B3087"/>
    <w:rsid w:val="009B4160"/>
    <w:rsid w:val="009B4E7C"/>
    <w:rsid w:val="009B7921"/>
    <w:rsid w:val="009C0CD5"/>
    <w:rsid w:val="009C161C"/>
    <w:rsid w:val="009C35FF"/>
    <w:rsid w:val="009C529F"/>
    <w:rsid w:val="009C7128"/>
    <w:rsid w:val="009D04A9"/>
    <w:rsid w:val="009D379A"/>
    <w:rsid w:val="009D5888"/>
    <w:rsid w:val="009D6EF0"/>
    <w:rsid w:val="009D7635"/>
    <w:rsid w:val="009D796D"/>
    <w:rsid w:val="009E0AF9"/>
    <w:rsid w:val="009E124C"/>
    <w:rsid w:val="009E2DA5"/>
    <w:rsid w:val="009E3DF1"/>
    <w:rsid w:val="009E6C23"/>
    <w:rsid w:val="009F2A6A"/>
    <w:rsid w:val="009F34EE"/>
    <w:rsid w:val="009F53CF"/>
    <w:rsid w:val="009F6230"/>
    <w:rsid w:val="009F79C7"/>
    <w:rsid w:val="009F7EB2"/>
    <w:rsid w:val="00A00A0B"/>
    <w:rsid w:val="00A017AB"/>
    <w:rsid w:val="00A02782"/>
    <w:rsid w:val="00A02E87"/>
    <w:rsid w:val="00A0550C"/>
    <w:rsid w:val="00A066B0"/>
    <w:rsid w:val="00A0714A"/>
    <w:rsid w:val="00A071B5"/>
    <w:rsid w:val="00A07FF1"/>
    <w:rsid w:val="00A10498"/>
    <w:rsid w:val="00A1277A"/>
    <w:rsid w:val="00A138F6"/>
    <w:rsid w:val="00A16308"/>
    <w:rsid w:val="00A21B04"/>
    <w:rsid w:val="00A26116"/>
    <w:rsid w:val="00A26D37"/>
    <w:rsid w:val="00A34F53"/>
    <w:rsid w:val="00A405FC"/>
    <w:rsid w:val="00A419E2"/>
    <w:rsid w:val="00A45018"/>
    <w:rsid w:val="00A502B7"/>
    <w:rsid w:val="00A5230F"/>
    <w:rsid w:val="00A55E2D"/>
    <w:rsid w:val="00A60D75"/>
    <w:rsid w:val="00A63F57"/>
    <w:rsid w:val="00A6463A"/>
    <w:rsid w:val="00A65112"/>
    <w:rsid w:val="00A65D98"/>
    <w:rsid w:val="00A70EA0"/>
    <w:rsid w:val="00A758DB"/>
    <w:rsid w:val="00A770D2"/>
    <w:rsid w:val="00A802DA"/>
    <w:rsid w:val="00A8784D"/>
    <w:rsid w:val="00A97B4B"/>
    <w:rsid w:val="00A97ED2"/>
    <w:rsid w:val="00AA11B2"/>
    <w:rsid w:val="00AA2BC2"/>
    <w:rsid w:val="00AA6C5F"/>
    <w:rsid w:val="00AA7AFA"/>
    <w:rsid w:val="00AB1E0B"/>
    <w:rsid w:val="00AB257B"/>
    <w:rsid w:val="00AB4404"/>
    <w:rsid w:val="00AB446F"/>
    <w:rsid w:val="00AB5328"/>
    <w:rsid w:val="00AB558C"/>
    <w:rsid w:val="00AB718D"/>
    <w:rsid w:val="00AC2A3E"/>
    <w:rsid w:val="00AC38DE"/>
    <w:rsid w:val="00AC3B62"/>
    <w:rsid w:val="00AC3D49"/>
    <w:rsid w:val="00AC4474"/>
    <w:rsid w:val="00AC4D13"/>
    <w:rsid w:val="00AC588D"/>
    <w:rsid w:val="00AD1F80"/>
    <w:rsid w:val="00AD3C3F"/>
    <w:rsid w:val="00AD4DEE"/>
    <w:rsid w:val="00AD5039"/>
    <w:rsid w:val="00AE1002"/>
    <w:rsid w:val="00AE5CB1"/>
    <w:rsid w:val="00AE6CEA"/>
    <w:rsid w:val="00AF0779"/>
    <w:rsid w:val="00AF0D76"/>
    <w:rsid w:val="00AF2528"/>
    <w:rsid w:val="00AF7711"/>
    <w:rsid w:val="00B02B4A"/>
    <w:rsid w:val="00B06A32"/>
    <w:rsid w:val="00B0713A"/>
    <w:rsid w:val="00B10EDE"/>
    <w:rsid w:val="00B11730"/>
    <w:rsid w:val="00B12D6F"/>
    <w:rsid w:val="00B146FC"/>
    <w:rsid w:val="00B16D6B"/>
    <w:rsid w:val="00B2408B"/>
    <w:rsid w:val="00B308BA"/>
    <w:rsid w:val="00B31B89"/>
    <w:rsid w:val="00B34C09"/>
    <w:rsid w:val="00B36471"/>
    <w:rsid w:val="00B40FCF"/>
    <w:rsid w:val="00B420C4"/>
    <w:rsid w:val="00B42FB5"/>
    <w:rsid w:val="00B431C0"/>
    <w:rsid w:val="00B468BA"/>
    <w:rsid w:val="00B47537"/>
    <w:rsid w:val="00B50809"/>
    <w:rsid w:val="00B517BA"/>
    <w:rsid w:val="00B532E7"/>
    <w:rsid w:val="00B54285"/>
    <w:rsid w:val="00B566B1"/>
    <w:rsid w:val="00B61E3B"/>
    <w:rsid w:val="00B62FB9"/>
    <w:rsid w:val="00B64E9B"/>
    <w:rsid w:val="00B6583D"/>
    <w:rsid w:val="00B66AB9"/>
    <w:rsid w:val="00B672CB"/>
    <w:rsid w:val="00B73813"/>
    <w:rsid w:val="00B74D4F"/>
    <w:rsid w:val="00B778D4"/>
    <w:rsid w:val="00B81074"/>
    <w:rsid w:val="00B8184C"/>
    <w:rsid w:val="00B819D7"/>
    <w:rsid w:val="00B825CA"/>
    <w:rsid w:val="00B836E7"/>
    <w:rsid w:val="00B858C8"/>
    <w:rsid w:val="00B86A05"/>
    <w:rsid w:val="00B949C6"/>
    <w:rsid w:val="00B95F51"/>
    <w:rsid w:val="00B97DA8"/>
    <w:rsid w:val="00BA0259"/>
    <w:rsid w:val="00BA0EA9"/>
    <w:rsid w:val="00BA2C40"/>
    <w:rsid w:val="00BA4DDA"/>
    <w:rsid w:val="00BA50D0"/>
    <w:rsid w:val="00BA6BE5"/>
    <w:rsid w:val="00BB0B88"/>
    <w:rsid w:val="00BB1B81"/>
    <w:rsid w:val="00BB1D8A"/>
    <w:rsid w:val="00BB361E"/>
    <w:rsid w:val="00BB3D4A"/>
    <w:rsid w:val="00BB4C15"/>
    <w:rsid w:val="00BB53E8"/>
    <w:rsid w:val="00BB6C98"/>
    <w:rsid w:val="00BB6E64"/>
    <w:rsid w:val="00BC6D71"/>
    <w:rsid w:val="00BC7DC4"/>
    <w:rsid w:val="00BD5F0D"/>
    <w:rsid w:val="00BD77ED"/>
    <w:rsid w:val="00BE06FB"/>
    <w:rsid w:val="00BE2BC8"/>
    <w:rsid w:val="00BE4398"/>
    <w:rsid w:val="00BE455E"/>
    <w:rsid w:val="00BE736A"/>
    <w:rsid w:val="00BF0143"/>
    <w:rsid w:val="00BF3B33"/>
    <w:rsid w:val="00BF4BC8"/>
    <w:rsid w:val="00BF4BF9"/>
    <w:rsid w:val="00BF4FE9"/>
    <w:rsid w:val="00BF6BF2"/>
    <w:rsid w:val="00BF7B49"/>
    <w:rsid w:val="00C02B26"/>
    <w:rsid w:val="00C039B0"/>
    <w:rsid w:val="00C0725D"/>
    <w:rsid w:val="00C11BD9"/>
    <w:rsid w:val="00C14426"/>
    <w:rsid w:val="00C17259"/>
    <w:rsid w:val="00C175A9"/>
    <w:rsid w:val="00C23278"/>
    <w:rsid w:val="00C23978"/>
    <w:rsid w:val="00C23A6C"/>
    <w:rsid w:val="00C242A7"/>
    <w:rsid w:val="00C25DDB"/>
    <w:rsid w:val="00C26284"/>
    <w:rsid w:val="00C27952"/>
    <w:rsid w:val="00C33581"/>
    <w:rsid w:val="00C34311"/>
    <w:rsid w:val="00C346FA"/>
    <w:rsid w:val="00C36070"/>
    <w:rsid w:val="00C37BE2"/>
    <w:rsid w:val="00C404B3"/>
    <w:rsid w:val="00C405E3"/>
    <w:rsid w:val="00C40D11"/>
    <w:rsid w:val="00C41C5A"/>
    <w:rsid w:val="00C479ED"/>
    <w:rsid w:val="00C502AA"/>
    <w:rsid w:val="00C517C3"/>
    <w:rsid w:val="00C53D5F"/>
    <w:rsid w:val="00C6679B"/>
    <w:rsid w:val="00C72C75"/>
    <w:rsid w:val="00C73CDA"/>
    <w:rsid w:val="00C77972"/>
    <w:rsid w:val="00C77E4F"/>
    <w:rsid w:val="00C80103"/>
    <w:rsid w:val="00C84A50"/>
    <w:rsid w:val="00C84F05"/>
    <w:rsid w:val="00C870D1"/>
    <w:rsid w:val="00C91EAB"/>
    <w:rsid w:val="00C92605"/>
    <w:rsid w:val="00C93146"/>
    <w:rsid w:val="00C93F03"/>
    <w:rsid w:val="00C94113"/>
    <w:rsid w:val="00CA01CB"/>
    <w:rsid w:val="00CA0E0B"/>
    <w:rsid w:val="00CA5FF5"/>
    <w:rsid w:val="00CA7582"/>
    <w:rsid w:val="00CB0D8B"/>
    <w:rsid w:val="00CB50B0"/>
    <w:rsid w:val="00CB6A48"/>
    <w:rsid w:val="00CB7775"/>
    <w:rsid w:val="00CC2DD9"/>
    <w:rsid w:val="00CC3CE2"/>
    <w:rsid w:val="00CC6E02"/>
    <w:rsid w:val="00CD1636"/>
    <w:rsid w:val="00CD2EFC"/>
    <w:rsid w:val="00CD436D"/>
    <w:rsid w:val="00CD5609"/>
    <w:rsid w:val="00CD6239"/>
    <w:rsid w:val="00CD74F0"/>
    <w:rsid w:val="00CD76D4"/>
    <w:rsid w:val="00CE4DF6"/>
    <w:rsid w:val="00CE55D4"/>
    <w:rsid w:val="00CE75C2"/>
    <w:rsid w:val="00CF2E06"/>
    <w:rsid w:val="00CF2FFC"/>
    <w:rsid w:val="00CF60AE"/>
    <w:rsid w:val="00CF6BCE"/>
    <w:rsid w:val="00D036B8"/>
    <w:rsid w:val="00D0442B"/>
    <w:rsid w:val="00D04D5A"/>
    <w:rsid w:val="00D05DEC"/>
    <w:rsid w:val="00D06A8C"/>
    <w:rsid w:val="00D07886"/>
    <w:rsid w:val="00D13CB8"/>
    <w:rsid w:val="00D14A63"/>
    <w:rsid w:val="00D14C37"/>
    <w:rsid w:val="00D16F06"/>
    <w:rsid w:val="00D1757F"/>
    <w:rsid w:val="00D232E0"/>
    <w:rsid w:val="00D23383"/>
    <w:rsid w:val="00D30FC8"/>
    <w:rsid w:val="00D31A69"/>
    <w:rsid w:val="00D32891"/>
    <w:rsid w:val="00D35425"/>
    <w:rsid w:val="00D3590E"/>
    <w:rsid w:val="00D37F32"/>
    <w:rsid w:val="00D400C9"/>
    <w:rsid w:val="00D409F2"/>
    <w:rsid w:val="00D41539"/>
    <w:rsid w:val="00D44672"/>
    <w:rsid w:val="00D45301"/>
    <w:rsid w:val="00D4666B"/>
    <w:rsid w:val="00D46A69"/>
    <w:rsid w:val="00D47094"/>
    <w:rsid w:val="00D477B0"/>
    <w:rsid w:val="00D52B82"/>
    <w:rsid w:val="00D5409C"/>
    <w:rsid w:val="00D545CE"/>
    <w:rsid w:val="00D565BB"/>
    <w:rsid w:val="00D620F1"/>
    <w:rsid w:val="00D647BB"/>
    <w:rsid w:val="00D65CE3"/>
    <w:rsid w:val="00D664DA"/>
    <w:rsid w:val="00D67A32"/>
    <w:rsid w:val="00D70F47"/>
    <w:rsid w:val="00D71214"/>
    <w:rsid w:val="00D71EAD"/>
    <w:rsid w:val="00D805D1"/>
    <w:rsid w:val="00D80984"/>
    <w:rsid w:val="00D80D0D"/>
    <w:rsid w:val="00D85581"/>
    <w:rsid w:val="00D87AC1"/>
    <w:rsid w:val="00D901B9"/>
    <w:rsid w:val="00D92512"/>
    <w:rsid w:val="00D97271"/>
    <w:rsid w:val="00D97A0D"/>
    <w:rsid w:val="00D97DD0"/>
    <w:rsid w:val="00D97F49"/>
    <w:rsid w:val="00DA031D"/>
    <w:rsid w:val="00DA55C6"/>
    <w:rsid w:val="00DA6BA0"/>
    <w:rsid w:val="00DB057B"/>
    <w:rsid w:val="00DB1975"/>
    <w:rsid w:val="00DB4CC8"/>
    <w:rsid w:val="00DB7ECF"/>
    <w:rsid w:val="00DC094B"/>
    <w:rsid w:val="00DC52E7"/>
    <w:rsid w:val="00DC63DE"/>
    <w:rsid w:val="00DD0410"/>
    <w:rsid w:val="00DD054B"/>
    <w:rsid w:val="00DD4438"/>
    <w:rsid w:val="00DD4A20"/>
    <w:rsid w:val="00DD6266"/>
    <w:rsid w:val="00DD6D03"/>
    <w:rsid w:val="00DD79C8"/>
    <w:rsid w:val="00DE0128"/>
    <w:rsid w:val="00DE05D6"/>
    <w:rsid w:val="00DE21DB"/>
    <w:rsid w:val="00DE3620"/>
    <w:rsid w:val="00DF2A47"/>
    <w:rsid w:val="00DF4BA5"/>
    <w:rsid w:val="00DF54B9"/>
    <w:rsid w:val="00DF6302"/>
    <w:rsid w:val="00DF66B2"/>
    <w:rsid w:val="00DF747F"/>
    <w:rsid w:val="00E025BC"/>
    <w:rsid w:val="00E03895"/>
    <w:rsid w:val="00E05917"/>
    <w:rsid w:val="00E11E24"/>
    <w:rsid w:val="00E16297"/>
    <w:rsid w:val="00E2193B"/>
    <w:rsid w:val="00E22E74"/>
    <w:rsid w:val="00E275B0"/>
    <w:rsid w:val="00E3235C"/>
    <w:rsid w:val="00E335CE"/>
    <w:rsid w:val="00E4009F"/>
    <w:rsid w:val="00E42EF4"/>
    <w:rsid w:val="00E4421F"/>
    <w:rsid w:val="00E4786F"/>
    <w:rsid w:val="00E51BAD"/>
    <w:rsid w:val="00E5293D"/>
    <w:rsid w:val="00E53A89"/>
    <w:rsid w:val="00E5492E"/>
    <w:rsid w:val="00E55F17"/>
    <w:rsid w:val="00E55F57"/>
    <w:rsid w:val="00E5738F"/>
    <w:rsid w:val="00E603E4"/>
    <w:rsid w:val="00E616F6"/>
    <w:rsid w:val="00E621B1"/>
    <w:rsid w:val="00E630CF"/>
    <w:rsid w:val="00E70EA6"/>
    <w:rsid w:val="00E73B4A"/>
    <w:rsid w:val="00E75159"/>
    <w:rsid w:val="00E820B3"/>
    <w:rsid w:val="00E827D0"/>
    <w:rsid w:val="00E840A7"/>
    <w:rsid w:val="00E84FD8"/>
    <w:rsid w:val="00E853B3"/>
    <w:rsid w:val="00E8562D"/>
    <w:rsid w:val="00E9099C"/>
    <w:rsid w:val="00E91588"/>
    <w:rsid w:val="00E962E2"/>
    <w:rsid w:val="00E97A0C"/>
    <w:rsid w:val="00EA25A2"/>
    <w:rsid w:val="00EA26F9"/>
    <w:rsid w:val="00EA290A"/>
    <w:rsid w:val="00EA49AB"/>
    <w:rsid w:val="00EA4DA9"/>
    <w:rsid w:val="00EB0951"/>
    <w:rsid w:val="00EB26F2"/>
    <w:rsid w:val="00EB278A"/>
    <w:rsid w:val="00EB3CCA"/>
    <w:rsid w:val="00EB3DD1"/>
    <w:rsid w:val="00EB514A"/>
    <w:rsid w:val="00EB679A"/>
    <w:rsid w:val="00EB6D0E"/>
    <w:rsid w:val="00EC0A27"/>
    <w:rsid w:val="00EC0BEF"/>
    <w:rsid w:val="00EC382C"/>
    <w:rsid w:val="00EC5D97"/>
    <w:rsid w:val="00ED36FF"/>
    <w:rsid w:val="00ED4D49"/>
    <w:rsid w:val="00EE0404"/>
    <w:rsid w:val="00EE09EC"/>
    <w:rsid w:val="00EE0F0B"/>
    <w:rsid w:val="00EE2103"/>
    <w:rsid w:val="00EE3F60"/>
    <w:rsid w:val="00EE4E4A"/>
    <w:rsid w:val="00EE55F1"/>
    <w:rsid w:val="00EF034F"/>
    <w:rsid w:val="00EF4A2D"/>
    <w:rsid w:val="00F01108"/>
    <w:rsid w:val="00F02C8E"/>
    <w:rsid w:val="00F04AED"/>
    <w:rsid w:val="00F06CB7"/>
    <w:rsid w:val="00F073B1"/>
    <w:rsid w:val="00F10D6D"/>
    <w:rsid w:val="00F13A18"/>
    <w:rsid w:val="00F15D40"/>
    <w:rsid w:val="00F215CF"/>
    <w:rsid w:val="00F224CC"/>
    <w:rsid w:val="00F27756"/>
    <w:rsid w:val="00F316B2"/>
    <w:rsid w:val="00F32224"/>
    <w:rsid w:val="00F35476"/>
    <w:rsid w:val="00F36A69"/>
    <w:rsid w:val="00F36E2A"/>
    <w:rsid w:val="00F409DF"/>
    <w:rsid w:val="00F41C61"/>
    <w:rsid w:val="00F42BBF"/>
    <w:rsid w:val="00F432F3"/>
    <w:rsid w:val="00F454E1"/>
    <w:rsid w:val="00F50FD4"/>
    <w:rsid w:val="00F51A07"/>
    <w:rsid w:val="00F53BFC"/>
    <w:rsid w:val="00F541AC"/>
    <w:rsid w:val="00F54369"/>
    <w:rsid w:val="00F549BD"/>
    <w:rsid w:val="00F60C2D"/>
    <w:rsid w:val="00F6217E"/>
    <w:rsid w:val="00F64EA6"/>
    <w:rsid w:val="00F70DE6"/>
    <w:rsid w:val="00F73D67"/>
    <w:rsid w:val="00F742E9"/>
    <w:rsid w:val="00F77582"/>
    <w:rsid w:val="00F8096B"/>
    <w:rsid w:val="00F82B70"/>
    <w:rsid w:val="00F84F75"/>
    <w:rsid w:val="00F85ED8"/>
    <w:rsid w:val="00F934C3"/>
    <w:rsid w:val="00F94093"/>
    <w:rsid w:val="00F949C7"/>
    <w:rsid w:val="00F96376"/>
    <w:rsid w:val="00FA42CA"/>
    <w:rsid w:val="00FA5683"/>
    <w:rsid w:val="00FA7FC5"/>
    <w:rsid w:val="00FB0FEB"/>
    <w:rsid w:val="00FB5429"/>
    <w:rsid w:val="00FC2C27"/>
    <w:rsid w:val="00FC7038"/>
    <w:rsid w:val="00FD285A"/>
    <w:rsid w:val="00FD4E67"/>
    <w:rsid w:val="00FD5298"/>
    <w:rsid w:val="00FD6E4F"/>
    <w:rsid w:val="00FE38C9"/>
    <w:rsid w:val="00FE3B65"/>
    <w:rsid w:val="00FF2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BB"/>
    <w:pPr>
      <w:spacing w:before="240" w:after="240" w:line="36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172B88"/>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679DA"/>
    <w:pPr>
      <w:keepNext/>
      <w:keepLines/>
      <w:spacing w:before="180" w:after="180"/>
      <w:jc w:val="left"/>
      <w:outlineLvl w:val="1"/>
    </w:pPr>
    <w:rPr>
      <w:rFonts w:eastAsiaTheme="majorEastAsia" w:cs="Times New Roman"/>
      <w:b/>
      <w:color w:val="C00000"/>
      <w:sz w:val="28"/>
      <w:szCs w:val="28"/>
    </w:rPr>
  </w:style>
  <w:style w:type="paragraph" w:styleId="Heading3">
    <w:name w:val="heading 3"/>
    <w:basedOn w:val="Normal"/>
    <w:next w:val="Normal"/>
    <w:link w:val="Heading3Char"/>
    <w:autoRedefine/>
    <w:uiPriority w:val="9"/>
    <w:unhideWhenUsed/>
    <w:qFormat/>
    <w:rsid w:val="00D647BB"/>
    <w:pPr>
      <w:keepNext/>
      <w:keepLines/>
      <w:spacing w:before="180" w:after="180" w:line="24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B88"/>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965721"/>
    <w:pPr>
      <w:spacing w:after="120"/>
    </w:pPr>
    <w:rPr>
      <w:rFonts w:eastAsia="Calibri" w:cs="Times New Roman"/>
    </w:rPr>
  </w:style>
  <w:style w:type="character" w:customStyle="1" w:styleId="BodyTextChar">
    <w:name w:val="Body Text Char"/>
    <w:basedOn w:val="DefaultParagraphFont"/>
    <w:link w:val="BodyText"/>
    <w:uiPriority w:val="99"/>
    <w:rsid w:val="00965721"/>
    <w:rPr>
      <w:rFonts w:ascii="Times New Roman" w:eastAsia="Calibri" w:hAnsi="Times New Roman" w:cs="Times New Roman"/>
    </w:rPr>
  </w:style>
  <w:style w:type="paragraph" w:styleId="Title">
    <w:name w:val="Title"/>
    <w:basedOn w:val="Normal"/>
    <w:next w:val="Normal"/>
    <w:link w:val="TitleChar"/>
    <w:uiPriority w:val="10"/>
    <w:qFormat/>
    <w:rsid w:val="00E51BAD"/>
    <w:pPr>
      <w:spacing w:after="0"/>
      <w:contextualSpacing/>
    </w:pPr>
    <w:rPr>
      <w:rFonts w:eastAsiaTheme="majorEastAsia" w:cstheme="majorBidi"/>
      <w:b/>
      <w:color w:val="C00000"/>
      <w:spacing w:val="-10"/>
      <w:kern w:val="28"/>
      <w:sz w:val="32"/>
      <w:szCs w:val="56"/>
    </w:rPr>
  </w:style>
  <w:style w:type="character" w:customStyle="1" w:styleId="TitleChar">
    <w:name w:val="Title Char"/>
    <w:basedOn w:val="DefaultParagraphFont"/>
    <w:link w:val="Title"/>
    <w:uiPriority w:val="10"/>
    <w:rsid w:val="00E51BAD"/>
    <w:rPr>
      <w:rFonts w:ascii="Times New Roman" w:eastAsiaTheme="majorEastAsia" w:hAnsi="Times New Roman" w:cstheme="majorBidi"/>
      <w:b/>
      <w:color w:val="C00000"/>
      <w:spacing w:val="-10"/>
      <w:kern w:val="28"/>
      <w:sz w:val="32"/>
      <w:szCs w:val="56"/>
    </w:rPr>
  </w:style>
  <w:style w:type="character" w:customStyle="1" w:styleId="Heading2Char">
    <w:name w:val="Heading 2 Char"/>
    <w:basedOn w:val="DefaultParagraphFont"/>
    <w:link w:val="Heading2"/>
    <w:uiPriority w:val="9"/>
    <w:rsid w:val="005679DA"/>
    <w:rPr>
      <w:rFonts w:ascii="Times New Roman" w:eastAsiaTheme="majorEastAsia" w:hAnsi="Times New Roman" w:cs="Times New Roman"/>
      <w:b/>
      <w:color w:val="C00000"/>
      <w:sz w:val="28"/>
      <w:szCs w:val="28"/>
    </w:rPr>
  </w:style>
  <w:style w:type="character" w:customStyle="1" w:styleId="Heading3Char">
    <w:name w:val="Heading 3 Char"/>
    <w:basedOn w:val="DefaultParagraphFont"/>
    <w:link w:val="Heading3"/>
    <w:uiPriority w:val="9"/>
    <w:rsid w:val="00D647BB"/>
    <w:rPr>
      <w:rFonts w:ascii="Times New Roman" w:eastAsiaTheme="majorEastAsia" w:hAnsi="Times New Roman" w:cstheme="majorBidi"/>
      <w:b/>
      <w:color w:val="000000" w:themeColor="text1"/>
      <w:sz w:val="24"/>
      <w:szCs w:val="24"/>
    </w:rPr>
  </w:style>
  <w:style w:type="table" w:styleId="TableGrid">
    <w:name w:val="Table Grid"/>
    <w:basedOn w:val="TableNormal"/>
    <w:uiPriority w:val="59"/>
    <w:rsid w:val="00BA2C4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03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9145C"/>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E415C"/>
    <w:rPr>
      <w:color w:val="0563C1" w:themeColor="hyperlink"/>
      <w:u w:val="single"/>
    </w:rPr>
  </w:style>
  <w:style w:type="character" w:styleId="UnresolvedMention">
    <w:name w:val="Unresolved Mention"/>
    <w:basedOn w:val="DefaultParagraphFont"/>
    <w:uiPriority w:val="99"/>
    <w:semiHidden/>
    <w:unhideWhenUsed/>
    <w:rsid w:val="005E415C"/>
    <w:rPr>
      <w:color w:val="605E5C"/>
      <w:shd w:val="clear" w:color="auto" w:fill="E1DFDD"/>
    </w:rPr>
  </w:style>
  <w:style w:type="paragraph" w:styleId="Header">
    <w:name w:val="header"/>
    <w:basedOn w:val="Normal"/>
    <w:link w:val="HeaderChar"/>
    <w:uiPriority w:val="99"/>
    <w:unhideWhenUsed/>
    <w:rsid w:val="009D7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635"/>
  </w:style>
  <w:style w:type="paragraph" w:styleId="Footer">
    <w:name w:val="footer"/>
    <w:basedOn w:val="Normal"/>
    <w:link w:val="FooterChar"/>
    <w:uiPriority w:val="99"/>
    <w:unhideWhenUsed/>
    <w:rsid w:val="009D7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635"/>
  </w:style>
  <w:style w:type="character" w:styleId="PageNumber">
    <w:name w:val="page number"/>
    <w:basedOn w:val="DefaultParagraphFont"/>
    <w:uiPriority w:val="99"/>
    <w:semiHidden/>
    <w:unhideWhenUsed/>
    <w:rsid w:val="00D901B9"/>
  </w:style>
  <w:style w:type="character" w:styleId="CommentReference">
    <w:name w:val="annotation reference"/>
    <w:basedOn w:val="DefaultParagraphFont"/>
    <w:uiPriority w:val="99"/>
    <w:semiHidden/>
    <w:unhideWhenUsed/>
    <w:rsid w:val="00D647BB"/>
    <w:rPr>
      <w:sz w:val="16"/>
      <w:szCs w:val="16"/>
    </w:rPr>
  </w:style>
  <w:style w:type="paragraph" w:styleId="CommentText">
    <w:name w:val="annotation text"/>
    <w:basedOn w:val="Normal"/>
    <w:link w:val="CommentTextChar"/>
    <w:uiPriority w:val="99"/>
    <w:unhideWhenUsed/>
    <w:rsid w:val="00D647BB"/>
    <w:pPr>
      <w:spacing w:line="240" w:lineRule="auto"/>
    </w:pPr>
    <w:rPr>
      <w:sz w:val="20"/>
      <w:szCs w:val="20"/>
    </w:rPr>
  </w:style>
  <w:style w:type="character" w:customStyle="1" w:styleId="CommentTextChar">
    <w:name w:val="Comment Text Char"/>
    <w:basedOn w:val="DefaultParagraphFont"/>
    <w:link w:val="CommentText"/>
    <w:uiPriority w:val="99"/>
    <w:rsid w:val="00D647BB"/>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647BB"/>
    <w:rPr>
      <w:b/>
      <w:bCs/>
    </w:rPr>
  </w:style>
  <w:style w:type="character" w:customStyle="1" w:styleId="CommentSubjectChar">
    <w:name w:val="Comment Subject Char"/>
    <w:basedOn w:val="CommentTextChar"/>
    <w:link w:val="CommentSubject"/>
    <w:uiPriority w:val="99"/>
    <w:semiHidden/>
    <w:rsid w:val="00D647BB"/>
    <w:rPr>
      <w:rFonts w:ascii="Times New Roman" w:hAnsi="Times New Roman"/>
      <w:b/>
      <w:bCs/>
      <w:color w:val="000000" w:themeColor="text1"/>
      <w:sz w:val="20"/>
      <w:szCs w:val="20"/>
    </w:rPr>
  </w:style>
  <w:style w:type="paragraph" w:styleId="Revision">
    <w:name w:val="Revision"/>
    <w:hidden/>
    <w:uiPriority w:val="99"/>
    <w:semiHidden/>
    <w:rsid w:val="00F215CF"/>
    <w:pPr>
      <w:spacing w:after="0" w:line="240" w:lineRule="auto"/>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7230</Words>
  <Characters>41213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2023-08-10T23:40:00Z</dcterms:created>
  <dcterms:modified xsi:type="dcterms:W3CDTF">2023-08-10T23:45:00Z</dcterms:modified>
</cp:coreProperties>
</file>